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B06AD" w14:textId="77777777" w:rsidR="00AC4679" w:rsidRDefault="00AC4679"/>
    <w:p w14:paraId="44EBD166" w14:textId="77777777" w:rsidR="006248E0" w:rsidRDefault="004C1C2E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F1B01D" wp14:editId="4EFE0647">
                <wp:simplePos x="0" y="0"/>
                <wp:positionH relativeFrom="column">
                  <wp:posOffset>4752975</wp:posOffset>
                </wp:positionH>
                <wp:positionV relativeFrom="paragraph">
                  <wp:posOffset>142240</wp:posOffset>
                </wp:positionV>
                <wp:extent cx="1871345" cy="271462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1345" cy="2714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201E6E1" w14:textId="4534D35F" w:rsidR="004C1C2E" w:rsidRPr="004056EA" w:rsidRDefault="004056EA" w:rsidP="004056EA">
                            <w:pPr>
                              <w:jc w:val="right"/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Paris, l</w:t>
                            </w:r>
                            <w:r w:rsidR="004C1C2E" w:rsidRPr="004056EA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e </w:t>
                            </w:r>
                            <w:r w:rsidR="00FE05F5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1</w:t>
                            </w:r>
                            <w:r w:rsidR="00225C47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er</w:t>
                            </w:r>
                            <w:r w:rsidR="004C1C2E" w:rsidRPr="004056EA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 janvier 20</w:t>
                            </w:r>
                            <w:r w:rsidR="00FE05F5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2</w:t>
                            </w:r>
                            <w:r w:rsidR="009D540D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F1B01D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74.25pt;margin-top:11.2pt;width:147.35pt;height:21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" fillcolor="white [3201]" stroked="f" strokeweight=".5pt">
                <v:textbox>
                  <w:txbxContent>
                    <w:p w14:paraId="4201E6E1" w14:textId="4534D35F" w:rsidR="004C1C2E" w:rsidRPr="004056EA" w:rsidRDefault="004056EA" w:rsidP="004056EA">
                      <w:pPr>
                        <w:jc w:val="right"/>
                        <w:rPr>
                          <w:rFonts w:ascii="Calibri" w:hAnsi="Calibri" w:cs="Calibri"/>
                          <w:b/>
                          <w:bCs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</w:rPr>
                        <w:t>Paris, l</w:t>
                      </w:r>
                      <w:r w:rsidR="004C1C2E" w:rsidRPr="004056EA">
                        <w:rPr>
                          <w:rFonts w:ascii="Calibri" w:hAnsi="Calibri" w:cs="Calibri"/>
                          <w:b/>
                          <w:bCs/>
                        </w:rPr>
                        <w:t xml:space="preserve">e </w:t>
                      </w:r>
                      <w:r w:rsidR="00FE05F5">
                        <w:rPr>
                          <w:rFonts w:ascii="Calibri" w:hAnsi="Calibri" w:cs="Calibri"/>
                          <w:b/>
                          <w:bCs/>
                        </w:rPr>
                        <w:t>1</w:t>
                      </w:r>
                      <w:r w:rsidR="00225C47">
                        <w:rPr>
                          <w:rFonts w:ascii="Calibri" w:hAnsi="Calibri" w:cs="Calibri"/>
                          <w:b/>
                          <w:bCs/>
                        </w:rPr>
                        <w:t>er</w:t>
                      </w:r>
                      <w:r w:rsidR="004C1C2E" w:rsidRPr="004056EA">
                        <w:rPr>
                          <w:rFonts w:ascii="Calibri" w:hAnsi="Calibri" w:cs="Calibri"/>
                          <w:b/>
                          <w:bCs/>
                        </w:rPr>
                        <w:t xml:space="preserve"> janvier 20</w:t>
                      </w:r>
                      <w:r w:rsidR="00FE05F5">
                        <w:rPr>
                          <w:rFonts w:ascii="Calibri" w:hAnsi="Calibri" w:cs="Calibri"/>
                          <w:b/>
                          <w:bCs/>
                        </w:rPr>
                        <w:t>2</w:t>
                      </w:r>
                      <w:r w:rsidR="009D540D">
                        <w:rPr>
                          <w:rFonts w:ascii="Calibri" w:hAnsi="Calibri" w:cs="Calibri"/>
                          <w:b/>
                          <w:bCs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25CCFE06" w14:textId="77777777" w:rsidR="00C429E0" w:rsidRDefault="00C429E0"/>
    <w:p w14:paraId="443A04BF" w14:textId="77777777" w:rsidR="00AC4679" w:rsidRPr="000617B6" w:rsidRDefault="00AC4679" w:rsidP="00AC46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 w:rsidRPr="000617B6">
        <w:rPr>
          <w:b/>
          <w:sz w:val="28"/>
          <w:szCs w:val="28"/>
        </w:rPr>
        <w:t xml:space="preserve">LETTRE </w:t>
      </w:r>
      <w:r w:rsidR="007317E4">
        <w:rPr>
          <w:b/>
          <w:sz w:val="28"/>
          <w:szCs w:val="28"/>
        </w:rPr>
        <w:t xml:space="preserve">D’INFORMATION </w:t>
      </w:r>
      <w:r w:rsidRPr="000617B6">
        <w:rPr>
          <w:b/>
          <w:sz w:val="28"/>
          <w:szCs w:val="28"/>
        </w:rPr>
        <w:t>AUX ADHERENTS</w:t>
      </w:r>
      <w:r w:rsidR="000617B6">
        <w:rPr>
          <w:b/>
          <w:sz w:val="28"/>
          <w:szCs w:val="28"/>
        </w:rPr>
        <w:t xml:space="preserve"> DE LA </w:t>
      </w:r>
      <w:r w:rsidRPr="000617B6">
        <w:rPr>
          <w:b/>
          <w:sz w:val="28"/>
          <w:szCs w:val="28"/>
        </w:rPr>
        <w:t xml:space="preserve">MUTUELLE FGTE </w:t>
      </w:r>
      <w:r w:rsidR="000617B6">
        <w:rPr>
          <w:b/>
          <w:sz w:val="28"/>
          <w:szCs w:val="28"/>
        </w:rPr>
        <w:t xml:space="preserve">- </w:t>
      </w:r>
      <w:r w:rsidRPr="000617B6">
        <w:rPr>
          <w:b/>
          <w:sz w:val="28"/>
          <w:szCs w:val="28"/>
        </w:rPr>
        <w:t>CFDT</w:t>
      </w:r>
    </w:p>
    <w:p w14:paraId="00D4E1B1" w14:textId="77777777" w:rsidR="00AC4679" w:rsidRDefault="00AC4679"/>
    <w:p w14:paraId="01E2EFAA" w14:textId="3A3CD0F9" w:rsidR="00AC4679" w:rsidRPr="000617B6" w:rsidRDefault="00AC4679" w:rsidP="00AC4679">
      <w:pPr>
        <w:jc w:val="center"/>
        <w:rPr>
          <w:b/>
          <w:sz w:val="28"/>
          <w:szCs w:val="28"/>
        </w:rPr>
      </w:pPr>
      <w:r w:rsidRPr="000617B6">
        <w:rPr>
          <w:b/>
          <w:sz w:val="28"/>
          <w:szCs w:val="28"/>
        </w:rPr>
        <w:t xml:space="preserve">Nous vous </w:t>
      </w:r>
      <w:r w:rsidR="007317E4">
        <w:rPr>
          <w:b/>
          <w:sz w:val="28"/>
          <w:szCs w:val="28"/>
        </w:rPr>
        <w:t>présen</w:t>
      </w:r>
      <w:r w:rsidRPr="000617B6">
        <w:rPr>
          <w:b/>
          <w:sz w:val="28"/>
          <w:szCs w:val="28"/>
        </w:rPr>
        <w:t>tons nos meilleurs vœux pour cette nouvelle année 20</w:t>
      </w:r>
      <w:r w:rsidR="00FE05F5">
        <w:rPr>
          <w:b/>
          <w:sz w:val="28"/>
          <w:szCs w:val="28"/>
        </w:rPr>
        <w:t>2</w:t>
      </w:r>
      <w:r w:rsidR="009D540D">
        <w:rPr>
          <w:b/>
          <w:sz w:val="28"/>
          <w:szCs w:val="28"/>
        </w:rPr>
        <w:t>3</w:t>
      </w:r>
      <w:r w:rsidRPr="000617B6">
        <w:rPr>
          <w:b/>
          <w:sz w:val="28"/>
          <w:szCs w:val="28"/>
        </w:rPr>
        <w:t> !!</w:t>
      </w:r>
    </w:p>
    <w:p w14:paraId="7A10EE40" w14:textId="77777777" w:rsidR="00AC4679" w:rsidRDefault="00AC4679"/>
    <w:p w14:paraId="636CC9C2" w14:textId="328699DA" w:rsidR="004A2590" w:rsidRDefault="004E0F0D" w:rsidP="00FE05F5">
      <w:pPr>
        <w:jc w:val="both"/>
        <w:rPr>
          <w:b/>
          <w:bCs/>
        </w:rPr>
      </w:pPr>
      <w:r>
        <w:rPr>
          <w:b/>
          <w:bCs/>
        </w:rPr>
        <w:t>Chères Adhérentes, chers Adhérents, l</w:t>
      </w:r>
      <w:r w:rsidR="00156DCB">
        <w:rPr>
          <w:b/>
          <w:bCs/>
        </w:rPr>
        <w:t>a Commission mutuelle vous souhaite, à toutes et tous, de bonnes Fêtes de fin d’année et une très belle année 202</w:t>
      </w:r>
      <w:r w:rsidR="009D540D">
        <w:rPr>
          <w:b/>
          <w:bCs/>
        </w:rPr>
        <w:t>3</w:t>
      </w:r>
      <w:r w:rsidR="00156DCB">
        <w:rPr>
          <w:b/>
          <w:bCs/>
        </w:rPr>
        <w:t xml:space="preserve">. </w:t>
      </w:r>
    </w:p>
    <w:p w14:paraId="70C90773" w14:textId="71017072" w:rsidR="009D540D" w:rsidRDefault="009D540D" w:rsidP="00FE05F5">
      <w:pPr>
        <w:jc w:val="both"/>
        <w:rPr>
          <w:b/>
          <w:bCs/>
        </w:rPr>
      </w:pPr>
      <w:r>
        <w:rPr>
          <w:b/>
          <w:bCs/>
        </w:rPr>
        <w:t>Cette année nous avons pu nous réunir à nouveau, puisque l’année dernière le covid nous en a privé, nous avons fait un état des lieux et des orientations à mi-mandat. Cette assemblée a demandé beaucoup d’effort d’organisation, puisqu’il fallait être vigilant compte tenu des réglementations sanitaire</w:t>
      </w:r>
      <w:r w:rsidR="001F44DF">
        <w:rPr>
          <w:b/>
          <w:bCs/>
        </w:rPr>
        <w:t>s</w:t>
      </w:r>
      <w:r>
        <w:rPr>
          <w:b/>
          <w:bCs/>
        </w:rPr>
        <w:t xml:space="preserve"> encore en vigueur</w:t>
      </w:r>
      <w:r w:rsidR="001F44DF">
        <w:rPr>
          <w:b/>
          <w:bCs/>
        </w:rPr>
        <w:t>s</w:t>
      </w:r>
      <w:r>
        <w:rPr>
          <w:b/>
          <w:bCs/>
        </w:rPr>
        <w:t xml:space="preserve">. </w:t>
      </w:r>
    </w:p>
    <w:p w14:paraId="44430E8B" w14:textId="4452C7FA" w:rsidR="00FE05F5" w:rsidRDefault="009C4F3F" w:rsidP="00FE05F5">
      <w:pPr>
        <w:jc w:val="both"/>
        <w:rPr>
          <w:b/>
          <w:bCs/>
        </w:rPr>
      </w:pPr>
      <w:r>
        <w:rPr>
          <w:b/>
          <w:bCs/>
        </w:rPr>
        <w:t>Pour autant, votre mutuelle a continué à évoluer, dans le bon sens et nous pouvons vous délivrer une t</w:t>
      </w:r>
      <w:r w:rsidR="00AC4139">
        <w:rPr>
          <w:b/>
          <w:bCs/>
        </w:rPr>
        <w:t>rès bonne nouvelle en cette fin d’année 202</w:t>
      </w:r>
      <w:r w:rsidR="009D540D">
        <w:rPr>
          <w:b/>
          <w:bCs/>
        </w:rPr>
        <w:t>2</w:t>
      </w:r>
      <w:r w:rsidR="00AC4139">
        <w:rPr>
          <w:b/>
          <w:bCs/>
        </w:rPr>
        <w:t xml:space="preserve"> : </w:t>
      </w:r>
      <w:r w:rsidR="003D492A">
        <w:rPr>
          <w:b/>
          <w:bCs/>
        </w:rPr>
        <w:t xml:space="preserve">les comptes de résultats sont </w:t>
      </w:r>
      <w:r w:rsidR="009D540D">
        <w:rPr>
          <w:b/>
          <w:bCs/>
        </w:rPr>
        <w:t>toujours</w:t>
      </w:r>
      <w:r w:rsidR="003D492A">
        <w:rPr>
          <w:b/>
          <w:bCs/>
        </w:rPr>
        <w:t xml:space="preserve"> à l’équilibre ! </w:t>
      </w:r>
      <w:r w:rsidR="00B04D7F">
        <w:rPr>
          <w:b/>
          <w:bCs/>
        </w:rPr>
        <w:t>D</w:t>
      </w:r>
      <w:r w:rsidR="003D492A">
        <w:rPr>
          <w:b/>
          <w:bCs/>
        </w:rPr>
        <w:t xml:space="preserve">e fait, </w:t>
      </w:r>
      <w:r w:rsidR="00AC4139">
        <w:rPr>
          <w:b/>
          <w:bCs/>
        </w:rPr>
        <w:t>v</w:t>
      </w:r>
      <w:r w:rsidR="00D16260" w:rsidRPr="00D16260">
        <w:rPr>
          <w:b/>
          <w:bCs/>
        </w:rPr>
        <w:t>os cotisations</w:t>
      </w:r>
      <w:r w:rsidR="00B04D7F">
        <w:rPr>
          <w:b/>
          <w:bCs/>
        </w:rPr>
        <w:t>,</w:t>
      </w:r>
      <w:r w:rsidR="00D16260">
        <w:rPr>
          <w:b/>
          <w:bCs/>
        </w:rPr>
        <w:t xml:space="preserve"> au </w:t>
      </w:r>
      <w:r w:rsidR="003D492A">
        <w:rPr>
          <w:b/>
          <w:bCs/>
        </w:rPr>
        <w:t xml:space="preserve">titre du </w:t>
      </w:r>
      <w:r w:rsidR="00D16260">
        <w:rPr>
          <w:b/>
          <w:bCs/>
        </w:rPr>
        <w:t>contrat Frais de santé de la FGTE-CFDT</w:t>
      </w:r>
      <w:r w:rsidR="00B04D7F">
        <w:rPr>
          <w:b/>
          <w:bCs/>
        </w:rPr>
        <w:t>,</w:t>
      </w:r>
      <w:r w:rsidR="00D16260">
        <w:rPr>
          <w:b/>
          <w:bCs/>
        </w:rPr>
        <w:t xml:space="preserve"> </w:t>
      </w:r>
      <w:r w:rsidR="00FE05F5">
        <w:rPr>
          <w:b/>
          <w:bCs/>
        </w:rPr>
        <w:t>ne subi</w:t>
      </w:r>
      <w:r w:rsidR="00AC4139">
        <w:rPr>
          <w:b/>
          <w:bCs/>
        </w:rPr>
        <w:t>ro</w:t>
      </w:r>
      <w:r w:rsidR="00FE05F5">
        <w:rPr>
          <w:b/>
          <w:bCs/>
        </w:rPr>
        <w:t>nt pas d’augmentation</w:t>
      </w:r>
      <w:r w:rsidR="00AC4139">
        <w:rPr>
          <w:b/>
          <w:bCs/>
        </w:rPr>
        <w:t xml:space="preserve"> en 202</w:t>
      </w:r>
      <w:r w:rsidR="009D540D">
        <w:rPr>
          <w:b/>
          <w:bCs/>
        </w:rPr>
        <w:t>3</w:t>
      </w:r>
      <w:r w:rsidR="00AC4139">
        <w:rPr>
          <w:b/>
          <w:bCs/>
        </w:rPr>
        <w:t> !</w:t>
      </w:r>
      <w:r w:rsidR="00FE05F5">
        <w:rPr>
          <w:b/>
          <w:bCs/>
        </w:rPr>
        <w:t xml:space="preserve"> </w:t>
      </w:r>
    </w:p>
    <w:p w14:paraId="3A03F51E" w14:textId="7B86856B" w:rsidR="009D540D" w:rsidRDefault="001F44DF" w:rsidP="00741595">
      <w:pPr>
        <w:jc w:val="both"/>
        <w:rPr>
          <w:b/>
          <w:bCs/>
        </w:rPr>
      </w:pPr>
      <w:r>
        <w:rPr>
          <w:b/>
          <w:bCs/>
        </w:rPr>
        <w:t>En revanche</w:t>
      </w:r>
      <w:r w:rsidR="009D540D">
        <w:rPr>
          <w:b/>
          <w:bCs/>
        </w:rPr>
        <w:t xml:space="preserve">, la lois Macron </w:t>
      </w:r>
      <w:r w:rsidR="000B51A5">
        <w:rPr>
          <w:b/>
          <w:bCs/>
        </w:rPr>
        <w:t xml:space="preserve">du </w:t>
      </w:r>
      <w:r w:rsidR="009D540D">
        <w:rPr>
          <w:b/>
          <w:bCs/>
        </w:rPr>
        <w:t>PMSS n’a pas augmenté pendant 2 ans, il y a donc un rattrapage de ces deux années (ce qui fait une augmentation de 6,9</w:t>
      </w:r>
      <w:r w:rsidR="000B51A5">
        <w:rPr>
          <w:b/>
          <w:bCs/>
        </w:rPr>
        <w:t>% sur les contrats mutuels), mais rassurez-vous nous avons réussi à diminuer cette augmentation</w:t>
      </w:r>
      <w:r>
        <w:rPr>
          <w:b/>
          <w:bCs/>
        </w:rPr>
        <w:t xml:space="preserve"> et à la faire passer</w:t>
      </w:r>
      <w:r w:rsidR="000B51A5">
        <w:rPr>
          <w:b/>
          <w:bCs/>
        </w:rPr>
        <w:t xml:space="preserve"> à 3%</w:t>
      </w:r>
      <w:r>
        <w:rPr>
          <w:b/>
          <w:bCs/>
        </w:rPr>
        <w:t xml:space="preserve"> de taxe. </w:t>
      </w:r>
    </w:p>
    <w:p w14:paraId="1F32FBFD" w14:textId="4A84F294" w:rsidR="0002472D" w:rsidRDefault="000B51A5" w:rsidP="00741595">
      <w:pPr>
        <w:jc w:val="both"/>
        <w:rPr>
          <w:b/>
          <w:bCs/>
        </w:rPr>
      </w:pPr>
      <w:r>
        <w:rPr>
          <w:b/>
          <w:bCs/>
        </w:rPr>
        <w:t>Durant notre dernière commission mutuelle o</w:t>
      </w:r>
      <w:r w:rsidR="001F44DF">
        <w:rPr>
          <w:b/>
          <w:bCs/>
        </w:rPr>
        <w:t>ù</w:t>
      </w:r>
      <w:r>
        <w:rPr>
          <w:b/>
          <w:bCs/>
        </w:rPr>
        <w:t xml:space="preserve"> nous avons analysés</w:t>
      </w:r>
      <w:r w:rsidR="00400CFE">
        <w:rPr>
          <w:b/>
          <w:bCs/>
        </w:rPr>
        <w:t xml:space="preserve"> les résultats, </w:t>
      </w:r>
      <w:r>
        <w:rPr>
          <w:b/>
          <w:bCs/>
        </w:rPr>
        <w:t>nous avons</w:t>
      </w:r>
      <w:r w:rsidR="00400CFE">
        <w:rPr>
          <w:b/>
          <w:bCs/>
        </w:rPr>
        <w:t xml:space="preserve"> constaté avec plaisir </w:t>
      </w:r>
      <w:r w:rsidR="00B04D7F">
        <w:rPr>
          <w:b/>
          <w:bCs/>
        </w:rPr>
        <w:t xml:space="preserve">une certaine maîtrise des dépenses et surtout, </w:t>
      </w:r>
      <w:r w:rsidR="00400CFE">
        <w:rPr>
          <w:b/>
          <w:bCs/>
        </w:rPr>
        <w:t>la progression permanente des adhésions.</w:t>
      </w:r>
      <w:r w:rsidR="00273662">
        <w:rPr>
          <w:b/>
          <w:bCs/>
        </w:rPr>
        <w:t xml:space="preserve"> Cette évolution</w:t>
      </w:r>
      <w:r w:rsidR="00114E7D">
        <w:rPr>
          <w:b/>
          <w:bCs/>
        </w:rPr>
        <w:t xml:space="preserve"> permet d’envisager de meilleures performances pour votre mutuelle et le développement d’un certain nombre d’actions complémentaires. </w:t>
      </w:r>
    </w:p>
    <w:p w14:paraId="11A9EDDC" w14:textId="557A202B" w:rsidR="00D16260" w:rsidRPr="0002472D" w:rsidRDefault="00114E7D" w:rsidP="0002472D">
      <w:pPr>
        <w:jc w:val="both"/>
        <w:rPr>
          <w:b/>
          <w:bCs/>
        </w:rPr>
      </w:pPr>
      <w:r>
        <w:rPr>
          <w:b/>
          <w:bCs/>
        </w:rPr>
        <w:t>Par exemple, nous</w:t>
      </w:r>
      <w:r w:rsidR="00741595" w:rsidRPr="003A25D5">
        <w:rPr>
          <w:b/>
          <w:bCs/>
        </w:rPr>
        <w:t xml:space="preserve"> </w:t>
      </w:r>
      <w:r w:rsidR="001F44DF">
        <w:rPr>
          <w:b/>
          <w:bCs/>
        </w:rPr>
        <w:t xml:space="preserve">avons travaillé au développement de cette mutuelle et nous avons l’honneur de compté </w:t>
      </w:r>
      <w:r w:rsidR="000B51A5">
        <w:rPr>
          <w:b/>
          <w:bCs/>
        </w:rPr>
        <w:t xml:space="preserve">plus </w:t>
      </w:r>
      <w:r w:rsidR="00C11B95">
        <w:rPr>
          <w:b/>
          <w:bCs/>
        </w:rPr>
        <w:t>d’une centaine</w:t>
      </w:r>
      <w:r w:rsidR="000B51A5">
        <w:rPr>
          <w:b/>
          <w:bCs/>
        </w:rPr>
        <w:t xml:space="preserve"> de nouveaux adhérents et adhérentes.</w:t>
      </w:r>
      <w:r w:rsidR="001F44DF">
        <w:rPr>
          <w:b/>
          <w:bCs/>
        </w:rPr>
        <w:t xml:space="preserve"> Les adhésions repartent à la hausse et cela nous permet de mieux équilibrer le contrat mutuel et cela nous aide grandement à </w:t>
      </w:r>
      <w:r w:rsidR="008410A7">
        <w:rPr>
          <w:b/>
          <w:bCs/>
        </w:rPr>
        <w:t>développer de nouveau</w:t>
      </w:r>
      <w:r w:rsidR="00C5498C">
        <w:rPr>
          <w:b/>
          <w:bCs/>
        </w:rPr>
        <w:t>x</w:t>
      </w:r>
      <w:r w:rsidR="008410A7">
        <w:rPr>
          <w:b/>
          <w:bCs/>
        </w:rPr>
        <w:t xml:space="preserve"> services. </w:t>
      </w:r>
    </w:p>
    <w:p w14:paraId="07F42AD7" w14:textId="77777777" w:rsidR="0002472D" w:rsidRPr="00B04D7F" w:rsidRDefault="0002472D" w:rsidP="0002472D">
      <w:pPr>
        <w:jc w:val="both"/>
        <w:rPr>
          <w:b/>
          <w:bCs/>
          <w:sz w:val="4"/>
          <w:szCs w:val="4"/>
          <w:u w:val="single"/>
        </w:rPr>
      </w:pPr>
    </w:p>
    <w:p w14:paraId="451034EC" w14:textId="0409FE18" w:rsidR="0002472D" w:rsidRPr="009B0C22" w:rsidRDefault="0002472D" w:rsidP="0002472D">
      <w:pPr>
        <w:jc w:val="both"/>
        <w:rPr>
          <w:b/>
          <w:bCs/>
          <w:sz w:val="6"/>
          <w:szCs w:val="6"/>
        </w:rPr>
      </w:pPr>
      <w:r w:rsidRPr="0002472D">
        <w:rPr>
          <w:b/>
          <w:bCs/>
          <w:i/>
          <w:iCs/>
          <w:sz w:val="28"/>
          <w:szCs w:val="28"/>
          <w:u w:val="single"/>
        </w:rPr>
        <w:t>Nouveau</w:t>
      </w:r>
      <w:r w:rsidR="008410A7">
        <w:rPr>
          <w:b/>
          <w:bCs/>
          <w:i/>
          <w:iCs/>
          <w:sz w:val="28"/>
          <w:szCs w:val="28"/>
          <w:u w:val="single"/>
        </w:rPr>
        <w:t>x services</w:t>
      </w:r>
      <w:r w:rsidRPr="0002472D">
        <w:rPr>
          <w:b/>
          <w:bCs/>
          <w:i/>
          <w:iCs/>
          <w:sz w:val="28"/>
          <w:szCs w:val="28"/>
        </w:rPr>
        <w:t>:</w:t>
      </w:r>
      <w:r w:rsidRPr="0002472D">
        <w:rPr>
          <w:b/>
          <w:bCs/>
          <w:sz w:val="28"/>
          <w:szCs w:val="28"/>
        </w:rPr>
        <w:t xml:space="preserve"> </w:t>
      </w:r>
    </w:p>
    <w:p w14:paraId="7087C0EF" w14:textId="1886F4B4" w:rsidR="0002472D" w:rsidRPr="009B0C22" w:rsidRDefault="0002472D" w:rsidP="0002472D">
      <w:pPr>
        <w:rPr>
          <w:b/>
          <w:bCs/>
          <w:sz w:val="6"/>
          <w:szCs w:val="6"/>
        </w:rPr>
      </w:pPr>
    </w:p>
    <w:p w14:paraId="21D33758" w14:textId="08E9AB87" w:rsidR="002E669A" w:rsidRDefault="002E669A" w:rsidP="002E669A">
      <w:pPr>
        <w:jc w:val="both"/>
        <w:rPr>
          <w:b/>
          <w:bCs/>
        </w:rPr>
      </w:pPr>
      <w:r w:rsidRPr="009B0C22">
        <w:rPr>
          <w:noProof/>
          <w:sz w:val="6"/>
          <w:szCs w:val="6"/>
          <w:lang w:eastAsia="fr-FR"/>
        </w:rPr>
        <w:drawing>
          <wp:anchor distT="0" distB="0" distL="114300" distR="114300" simplePos="0" relativeHeight="251664384" behindDoc="0" locked="0" layoutInCell="1" allowOverlap="1" wp14:anchorId="4038E942" wp14:editId="5344D466">
            <wp:simplePos x="0" y="0"/>
            <wp:positionH relativeFrom="column">
              <wp:posOffset>94615</wp:posOffset>
            </wp:positionH>
            <wp:positionV relativeFrom="paragraph">
              <wp:posOffset>800736</wp:posOffset>
            </wp:positionV>
            <wp:extent cx="241935" cy="307975"/>
            <wp:effectExtent l="24130" t="33020" r="29845" b="29845"/>
            <wp:wrapNone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926095">
                      <a:off x="0" y="0"/>
                      <a:ext cx="241935" cy="307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B0C22">
        <w:rPr>
          <w:b/>
          <w:bCs/>
        </w:rPr>
        <w:t>Nous vous rappelons que nous avons changé de réseau</w:t>
      </w:r>
      <w:r w:rsidR="00AD2FEC">
        <w:rPr>
          <w:b/>
          <w:bCs/>
        </w:rPr>
        <w:t>, en passant d’I</w:t>
      </w:r>
      <w:r w:rsidR="00B04D7F">
        <w:rPr>
          <w:b/>
          <w:bCs/>
        </w:rPr>
        <w:t>TELIS</w:t>
      </w:r>
      <w:r w:rsidR="00AD2FEC">
        <w:rPr>
          <w:b/>
          <w:bCs/>
        </w:rPr>
        <w:t xml:space="preserve"> à KALIXIA, </w:t>
      </w:r>
      <w:r w:rsidR="00AD2FEC" w:rsidRPr="00AD2FEC">
        <w:rPr>
          <w:b/>
          <w:bCs/>
        </w:rPr>
        <w:t>1er réseau de France </w:t>
      </w:r>
      <w:r w:rsidR="00AD2FEC">
        <w:rPr>
          <w:b/>
          <w:bCs/>
        </w:rPr>
        <w:t>d</w:t>
      </w:r>
      <w:r w:rsidR="00AD2FEC" w:rsidRPr="00AD2FEC">
        <w:rPr>
          <w:b/>
          <w:bCs/>
        </w:rPr>
        <w:t>epuis le 1er janvier 2020, avec 18 millions de bénéficiaires</w:t>
      </w:r>
      <w:r>
        <w:rPr>
          <w:b/>
          <w:bCs/>
        </w:rPr>
        <w:t xml:space="preserve">, </w:t>
      </w:r>
      <w:r w:rsidRPr="002E669A">
        <w:rPr>
          <w:b/>
          <w:bCs/>
        </w:rPr>
        <w:t>un réseau de soins conventionné en optique, audiologie et ostéopathie afin de faire bénéficier aux Français de soins de qualité sur tout le territoire</w:t>
      </w:r>
      <w:r>
        <w:rPr>
          <w:b/>
          <w:bCs/>
        </w:rPr>
        <w:t xml:space="preserve">, </w:t>
      </w:r>
      <w:r w:rsidR="008936EB">
        <w:rPr>
          <w:b/>
          <w:bCs/>
        </w:rPr>
        <w:t>avec un</w:t>
      </w:r>
      <w:r>
        <w:rPr>
          <w:b/>
          <w:bCs/>
        </w:rPr>
        <w:t xml:space="preserve"> partena</w:t>
      </w:r>
      <w:r w:rsidR="008936EB">
        <w:rPr>
          <w:b/>
          <w:bCs/>
        </w:rPr>
        <w:t>r</w:t>
      </w:r>
      <w:r>
        <w:rPr>
          <w:b/>
          <w:bCs/>
        </w:rPr>
        <w:t>i</w:t>
      </w:r>
      <w:r w:rsidR="008936EB">
        <w:rPr>
          <w:b/>
          <w:bCs/>
        </w:rPr>
        <w:t>at de</w:t>
      </w:r>
      <w:r>
        <w:rPr>
          <w:b/>
          <w:bCs/>
        </w:rPr>
        <w:t xml:space="preserve"> 45.000 adhérents.</w:t>
      </w:r>
    </w:p>
    <w:p w14:paraId="5FE54133" w14:textId="49E6FC46" w:rsidR="007648E4" w:rsidRPr="00316E65" w:rsidRDefault="002E669A" w:rsidP="00C96BEB">
      <w:pPr>
        <w:ind w:left="708"/>
        <w:jc w:val="both"/>
        <w:rPr>
          <w:b/>
          <w:bCs/>
        </w:rPr>
      </w:pPr>
      <w:r>
        <w:rPr>
          <w:b/>
          <w:bCs/>
        </w:rPr>
        <w:t>KALIXIA OPTIQUE :</w:t>
      </w:r>
      <w:r w:rsidR="00AD2FEC" w:rsidRPr="00AD2FEC">
        <w:rPr>
          <w:b/>
          <w:bCs/>
        </w:rPr>
        <w:t xml:space="preserve"> 6</w:t>
      </w:r>
      <w:r w:rsidR="00AD2FEC">
        <w:rPr>
          <w:b/>
          <w:bCs/>
        </w:rPr>
        <w:t>.</w:t>
      </w:r>
      <w:r w:rsidR="00AD2FEC" w:rsidRPr="00AD2FEC">
        <w:rPr>
          <w:b/>
          <w:bCs/>
        </w:rPr>
        <w:t>500 opticiens</w:t>
      </w:r>
      <w:r w:rsidR="00AD2FEC">
        <w:rPr>
          <w:b/>
          <w:bCs/>
        </w:rPr>
        <w:t xml:space="preserve"> partenaires</w:t>
      </w:r>
      <w:r w:rsidR="00C96BEB">
        <w:rPr>
          <w:b/>
          <w:bCs/>
        </w:rPr>
        <w:t xml:space="preserve"> et, g</w:t>
      </w:r>
      <w:r w:rsidR="00C96BEB" w:rsidRPr="00C96BEB">
        <w:rPr>
          <w:b/>
          <w:bCs/>
        </w:rPr>
        <w:t>râce au tiers payant</w:t>
      </w:r>
      <w:r w:rsidR="00C96BEB">
        <w:rPr>
          <w:b/>
          <w:bCs/>
        </w:rPr>
        <w:t>,</w:t>
      </w:r>
      <w:r w:rsidR="00C96BEB" w:rsidRPr="00C96BEB">
        <w:rPr>
          <w:b/>
          <w:bCs/>
        </w:rPr>
        <w:t xml:space="preserve"> vous serez dispensé de l’avance de frais. Avec K</w:t>
      </w:r>
      <w:r w:rsidR="00C96BEB">
        <w:rPr>
          <w:b/>
          <w:bCs/>
        </w:rPr>
        <w:t>ALIXIA</w:t>
      </w:r>
      <w:r w:rsidR="00C96BEB" w:rsidRPr="00C96BEB">
        <w:rPr>
          <w:b/>
          <w:bCs/>
        </w:rPr>
        <w:t>, en général, il ne reste rien à régler pour 3 assurés sur 4</w:t>
      </w:r>
      <w:r w:rsidR="00C96BEB">
        <w:rPr>
          <w:b/>
          <w:bCs/>
        </w:rPr>
        <w:t xml:space="preserve"> et</w:t>
      </w:r>
      <w:r w:rsidR="008936EB">
        <w:rPr>
          <w:b/>
          <w:bCs/>
        </w:rPr>
        <w:t>, qui plus est,</w:t>
      </w:r>
      <w:r w:rsidR="00C96BEB">
        <w:rPr>
          <w:b/>
          <w:bCs/>
        </w:rPr>
        <w:t xml:space="preserve"> d</w:t>
      </w:r>
      <w:r w:rsidR="00C96BEB" w:rsidRPr="00C96BEB">
        <w:rPr>
          <w:b/>
          <w:bCs/>
        </w:rPr>
        <w:t xml:space="preserve">epuis votre </w:t>
      </w:r>
      <w:r w:rsidR="008936EB">
        <w:rPr>
          <w:b/>
          <w:bCs/>
        </w:rPr>
        <w:t>E</w:t>
      </w:r>
      <w:r w:rsidR="00C96BEB" w:rsidRPr="00C96BEB">
        <w:rPr>
          <w:b/>
          <w:bCs/>
        </w:rPr>
        <w:t>space client</w:t>
      </w:r>
      <w:r w:rsidR="00C96BEB">
        <w:rPr>
          <w:b/>
          <w:bCs/>
        </w:rPr>
        <w:t xml:space="preserve">, </w:t>
      </w:r>
      <w:r w:rsidR="00C96BEB" w:rsidRPr="00C96BEB">
        <w:rPr>
          <w:b/>
          <w:bCs/>
        </w:rPr>
        <w:t>vous pourrez géolocaliser un opticien proche de votre domicile.</w:t>
      </w:r>
      <w:r w:rsidR="007648E4" w:rsidRPr="00316E65">
        <w:rPr>
          <w:b/>
          <w:bCs/>
        </w:rPr>
        <w:t xml:space="preserve"> Vous pourrez ainsi profiter de nombreuses réductions : en moyenne, 45% sur les verres, </w:t>
      </w:r>
      <w:r w:rsidR="00316E65" w:rsidRPr="00316E65">
        <w:rPr>
          <w:b/>
          <w:bCs/>
        </w:rPr>
        <w:t>20</w:t>
      </w:r>
      <w:r w:rsidR="007648E4" w:rsidRPr="00316E65">
        <w:rPr>
          <w:b/>
          <w:bCs/>
        </w:rPr>
        <w:t xml:space="preserve">% sur les montures, 2 ans de garantie « casse », </w:t>
      </w:r>
      <w:r w:rsidR="00D943E8" w:rsidRPr="00316E65">
        <w:rPr>
          <w:b/>
          <w:bCs/>
        </w:rPr>
        <w:t>etc.</w:t>
      </w:r>
      <w:r w:rsidR="007648E4" w:rsidRPr="00316E65">
        <w:rPr>
          <w:b/>
          <w:bCs/>
        </w:rPr>
        <w:t xml:space="preserve"> …, cela sans rogner sur la qualité des prestations qui vous sont fournies.</w:t>
      </w:r>
      <w:r w:rsidR="00316E65">
        <w:rPr>
          <w:b/>
          <w:bCs/>
        </w:rPr>
        <w:t xml:space="preserve"> </w:t>
      </w:r>
    </w:p>
    <w:p w14:paraId="79031837" w14:textId="4290AEB6" w:rsidR="007648E4" w:rsidRDefault="007648E4" w:rsidP="004A0D22">
      <w:pPr>
        <w:pStyle w:val="Paragraphedeliste"/>
        <w:jc w:val="both"/>
        <w:rPr>
          <w:b/>
          <w:bCs/>
        </w:rPr>
      </w:pPr>
    </w:p>
    <w:p w14:paraId="362556BC" w14:textId="77777777" w:rsidR="00227065" w:rsidRDefault="00227065" w:rsidP="00316E65">
      <w:pPr>
        <w:pStyle w:val="Paragraphedeliste"/>
        <w:jc w:val="both"/>
        <w:rPr>
          <w:b/>
          <w:bCs/>
        </w:rPr>
      </w:pPr>
    </w:p>
    <w:p w14:paraId="3D25A901" w14:textId="67D736DE" w:rsidR="00227065" w:rsidRDefault="00227065" w:rsidP="00316E65">
      <w:pPr>
        <w:pStyle w:val="Paragraphedeliste"/>
        <w:jc w:val="both"/>
        <w:rPr>
          <w:b/>
          <w:bCs/>
        </w:rPr>
      </w:pPr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6C556B70" wp14:editId="73FEA0A9">
            <wp:simplePos x="0" y="0"/>
            <wp:positionH relativeFrom="column">
              <wp:posOffset>87630</wp:posOffset>
            </wp:positionH>
            <wp:positionV relativeFrom="paragraph">
              <wp:posOffset>152400</wp:posOffset>
            </wp:positionV>
            <wp:extent cx="241935" cy="307975"/>
            <wp:effectExtent l="24130" t="33020" r="29845" b="29845"/>
            <wp:wrapNone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926095">
                      <a:off x="0" y="0"/>
                      <a:ext cx="241935" cy="307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604DD98" w14:textId="77777777" w:rsidR="001F44DF" w:rsidRDefault="00316E65" w:rsidP="00227065">
      <w:pPr>
        <w:pStyle w:val="Paragraphedeliste"/>
        <w:jc w:val="both"/>
        <w:rPr>
          <w:b/>
          <w:bCs/>
        </w:rPr>
      </w:pPr>
      <w:r>
        <w:rPr>
          <w:b/>
          <w:bCs/>
        </w:rPr>
        <w:t>KALIXIA</w:t>
      </w:r>
      <w:r w:rsidR="00FE313F">
        <w:rPr>
          <w:b/>
          <w:bCs/>
        </w:rPr>
        <w:t xml:space="preserve"> DENTAIRE</w:t>
      </w:r>
      <w:r w:rsidR="007648E4">
        <w:rPr>
          <w:b/>
          <w:bCs/>
        </w:rPr>
        <w:t>, c’est également un réseau de chirurgiens-dentistes</w:t>
      </w:r>
      <w:r w:rsidR="007317E4">
        <w:rPr>
          <w:b/>
          <w:bCs/>
        </w:rPr>
        <w:t>,</w:t>
      </w:r>
      <w:r w:rsidR="007648E4">
        <w:rPr>
          <w:b/>
          <w:bCs/>
        </w:rPr>
        <w:t xml:space="preserve"> grâce auquel vous pouvez</w:t>
      </w:r>
      <w:r w:rsidR="00AC4679" w:rsidRPr="00D16260">
        <w:rPr>
          <w:b/>
          <w:bCs/>
        </w:rPr>
        <w:t xml:space="preserve"> </w:t>
      </w:r>
      <w:r w:rsidR="00227065">
        <w:rPr>
          <w:b/>
          <w:bCs/>
        </w:rPr>
        <w:t xml:space="preserve">bénéficier de </w:t>
      </w:r>
      <w:r w:rsidR="00227065" w:rsidRPr="00227065">
        <w:rPr>
          <w:b/>
          <w:bCs/>
        </w:rPr>
        <w:t xml:space="preserve">tarifs plafonnés qui vous permettront d’accéder à des soins étendus (prothèses, orthodontie, implantologie ou parodontologie) en limitant au mieux la somme qui vous restera à charge, y compris pour </w:t>
      </w:r>
    </w:p>
    <w:p w14:paraId="583F6C52" w14:textId="77777777" w:rsidR="001F44DF" w:rsidRDefault="001F44DF" w:rsidP="00227065">
      <w:pPr>
        <w:pStyle w:val="Paragraphedeliste"/>
        <w:jc w:val="both"/>
        <w:rPr>
          <w:b/>
          <w:bCs/>
        </w:rPr>
      </w:pPr>
    </w:p>
    <w:p w14:paraId="636182B9" w14:textId="77777777" w:rsidR="001F44DF" w:rsidRDefault="001F44DF" w:rsidP="00227065">
      <w:pPr>
        <w:pStyle w:val="Paragraphedeliste"/>
        <w:jc w:val="both"/>
        <w:rPr>
          <w:b/>
          <w:bCs/>
        </w:rPr>
      </w:pPr>
    </w:p>
    <w:p w14:paraId="01B110D4" w14:textId="77777777" w:rsidR="001F44DF" w:rsidRDefault="001F44DF" w:rsidP="00227065">
      <w:pPr>
        <w:pStyle w:val="Paragraphedeliste"/>
        <w:jc w:val="both"/>
        <w:rPr>
          <w:b/>
          <w:bCs/>
        </w:rPr>
      </w:pPr>
    </w:p>
    <w:p w14:paraId="0FF5A693" w14:textId="77777777" w:rsidR="001F44DF" w:rsidRDefault="001F44DF" w:rsidP="00227065">
      <w:pPr>
        <w:pStyle w:val="Paragraphedeliste"/>
        <w:jc w:val="both"/>
        <w:rPr>
          <w:b/>
          <w:bCs/>
        </w:rPr>
      </w:pPr>
    </w:p>
    <w:p w14:paraId="78A944D6" w14:textId="00DF420D" w:rsidR="00227065" w:rsidRDefault="00227065" w:rsidP="00227065">
      <w:pPr>
        <w:pStyle w:val="Paragraphedeliste"/>
        <w:jc w:val="both"/>
        <w:rPr>
          <w:b/>
          <w:bCs/>
        </w:rPr>
      </w:pPr>
      <w:r w:rsidRPr="00227065">
        <w:rPr>
          <w:b/>
          <w:bCs/>
        </w:rPr>
        <w:t>les soins hors du 100 % Santé.</w:t>
      </w:r>
      <w:r w:rsidR="00AC4679" w:rsidRPr="00D16260">
        <w:rPr>
          <w:b/>
          <w:bCs/>
        </w:rPr>
        <w:t xml:space="preserve"> </w:t>
      </w:r>
      <w:r w:rsidR="007648E4">
        <w:rPr>
          <w:b/>
          <w:bCs/>
        </w:rPr>
        <w:t xml:space="preserve">Là encore, vous pouvez bénéficier, par exemple, de remises de </w:t>
      </w:r>
      <w:r w:rsidR="007648E4" w:rsidRPr="00D16260">
        <w:rPr>
          <w:b/>
          <w:bCs/>
        </w:rPr>
        <w:t xml:space="preserve">25% sur les prothèses dentaires, </w:t>
      </w:r>
      <w:r w:rsidR="00D943E8" w:rsidRPr="00D16260">
        <w:rPr>
          <w:b/>
          <w:bCs/>
        </w:rPr>
        <w:t>et</w:t>
      </w:r>
      <w:r>
        <w:rPr>
          <w:b/>
          <w:bCs/>
        </w:rPr>
        <w:t>, c</w:t>
      </w:r>
      <w:r w:rsidRPr="00227065">
        <w:rPr>
          <w:b/>
          <w:bCs/>
        </w:rPr>
        <w:t xml:space="preserve">omme il est prévu dans la </w:t>
      </w:r>
      <w:r>
        <w:rPr>
          <w:b/>
          <w:bCs/>
        </w:rPr>
        <w:t>C</w:t>
      </w:r>
      <w:r w:rsidRPr="00227065">
        <w:rPr>
          <w:b/>
          <w:bCs/>
        </w:rPr>
        <w:t>harte qualité, d’une garantie de 10 ans sur vos couronnes.</w:t>
      </w:r>
    </w:p>
    <w:p w14:paraId="0C930BEC" w14:textId="415F827E" w:rsidR="007648E4" w:rsidRDefault="00227065" w:rsidP="00316E65">
      <w:pPr>
        <w:pStyle w:val="Paragraphedeliste"/>
        <w:jc w:val="both"/>
        <w:rPr>
          <w:b/>
          <w:bCs/>
        </w:rPr>
      </w:pPr>
      <w:r w:rsidRPr="00227065">
        <w:rPr>
          <w:b/>
          <w:bCs/>
          <w:noProof/>
        </w:rPr>
        <w:drawing>
          <wp:anchor distT="0" distB="0" distL="114300" distR="114300" simplePos="0" relativeHeight="251667456" behindDoc="0" locked="0" layoutInCell="1" allowOverlap="1" wp14:anchorId="2AB5D339" wp14:editId="0294E07E">
            <wp:simplePos x="0" y="0"/>
            <wp:positionH relativeFrom="column">
              <wp:posOffset>83185</wp:posOffset>
            </wp:positionH>
            <wp:positionV relativeFrom="paragraph">
              <wp:posOffset>142875</wp:posOffset>
            </wp:positionV>
            <wp:extent cx="241935" cy="307975"/>
            <wp:effectExtent l="24130" t="33020" r="29845" b="29845"/>
            <wp:wrapNone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926095">
                      <a:off x="0" y="0"/>
                      <a:ext cx="241935" cy="307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96CA2E8" w14:textId="6360470D" w:rsidR="00FE313F" w:rsidRPr="00FE313F" w:rsidRDefault="00031A95" w:rsidP="00031A95">
      <w:pPr>
        <w:pStyle w:val="NormalWeb"/>
        <w:shd w:val="clear" w:color="auto" w:fill="FFFFFF"/>
        <w:spacing w:before="0" w:beforeAutospacing="0"/>
        <w:ind w:left="720"/>
        <w:jc w:val="both"/>
        <w:rPr>
          <w:rFonts w:ascii="Calibri" w:eastAsiaTheme="minorHAnsi" w:hAnsi="Calibri" w:cs="Calibri"/>
          <w:b/>
          <w:bCs/>
          <w:sz w:val="22"/>
          <w:szCs w:val="22"/>
          <w:lang w:eastAsia="en-US"/>
        </w:rPr>
      </w:pPr>
      <w:r w:rsidRPr="00227065">
        <w:rPr>
          <w:b/>
          <w:bCs/>
          <w:noProof/>
          <w:lang w:eastAsia="en-US"/>
        </w:rPr>
        <w:drawing>
          <wp:anchor distT="0" distB="0" distL="114300" distR="114300" simplePos="0" relativeHeight="251669504" behindDoc="0" locked="0" layoutInCell="1" allowOverlap="1" wp14:anchorId="3AA91985" wp14:editId="760213F3">
            <wp:simplePos x="0" y="0"/>
            <wp:positionH relativeFrom="column">
              <wp:posOffset>82550</wp:posOffset>
            </wp:positionH>
            <wp:positionV relativeFrom="paragraph">
              <wp:posOffset>1510665</wp:posOffset>
            </wp:positionV>
            <wp:extent cx="241935" cy="307975"/>
            <wp:effectExtent l="24130" t="33020" r="29845" b="29845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926095">
                      <a:off x="0" y="0"/>
                      <a:ext cx="241935" cy="307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16E65" w:rsidRPr="00FE313F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>KALIXIA</w:t>
      </w:r>
      <w:r w:rsidR="00FE313F" w:rsidRPr="00FE313F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 xml:space="preserve"> AUDIO, c’est encore</w:t>
      </w:r>
      <w:r w:rsidR="00FE313F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>,</w:t>
      </w:r>
      <w:r w:rsidR="00FE313F" w:rsidRPr="00FE313F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 xml:space="preserve"> </w:t>
      </w:r>
      <w:r w:rsidR="00FE313F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>l</w:t>
      </w:r>
      <w:r w:rsidR="00FE313F" w:rsidRPr="00FE313F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>orsque vous ache</w:t>
      </w:r>
      <w:r w:rsidR="00FE313F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>t</w:t>
      </w:r>
      <w:r w:rsidR="00FE313F" w:rsidRPr="00FE313F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>ez votre appareillage complet chez un partenaire de K</w:t>
      </w:r>
      <w:r w:rsidR="008936EB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>ALIXIA</w:t>
      </w:r>
      <w:r w:rsidR="00FE313F" w:rsidRPr="00FE313F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 xml:space="preserve">, </w:t>
      </w:r>
      <w:r w:rsidR="00FE313F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>un</w:t>
      </w:r>
      <w:r w:rsidR="00FE313F" w:rsidRPr="00FE313F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 xml:space="preserve"> équipement de suite prêt à l’emploi, quel que soit le modèle choisi. Vous bénéficierez également d’une remise d’au moins 15 %.</w:t>
      </w:r>
      <w:r w:rsidR="00FE313F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 xml:space="preserve"> </w:t>
      </w:r>
      <w:r w:rsidR="00FE313F" w:rsidRPr="00FE313F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>Vous aurez la certitude de bénéficier des techniques et des matériaux les plus récents du marché.</w:t>
      </w:r>
      <w:r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 xml:space="preserve"> </w:t>
      </w:r>
      <w:r w:rsidR="00FE313F" w:rsidRPr="00FE313F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>Vous pourrez également profiter d’une offre spéciale exclusive « Prim’Audio », qui vous garantira un appareillage de qualité pour un prix de 700 euros au maximum par prothèse. En général, vous réaliserez une économie moyenne de 600 € sur un double appareillage.</w:t>
      </w:r>
      <w:r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 xml:space="preserve"> </w:t>
      </w:r>
      <w:r w:rsidR="00FE313F" w:rsidRPr="00FE313F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 xml:space="preserve">La « garantie panne » </w:t>
      </w:r>
      <w:r w:rsidR="00FE313F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>est de</w:t>
      </w:r>
      <w:r w:rsidR="00FE313F" w:rsidRPr="00FE313F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 xml:space="preserve"> 4 ans</w:t>
      </w:r>
      <w:r w:rsidR="00FE313F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 xml:space="preserve"> et, d</w:t>
      </w:r>
      <w:r w:rsidR="00FE313F" w:rsidRPr="00FE313F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>urant toute la vie de votre équipement</w:t>
      </w:r>
      <w:r w:rsidR="00FE313F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>,</w:t>
      </w:r>
      <w:r w:rsidR="00FE313F" w:rsidRPr="00FE313F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 xml:space="preserve"> vous bénéficierez d’un accompagnement personnalisé.</w:t>
      </w:r>
    </w:p>
    <w:p w14:paraId="1711FB91" w14:textId="2954E1E5" w:rsidR="00316E65" w:rsidRDefault="00FE313F" w:rsidP="00D16260">
      <w:pPr>
        <w:pStyle w:val="Paragraphedeliste"/>
        <w:jc w:val="both"/>
        <w:rPr>
          <w:b/>
          <w:bCs/>
        </w:rPr>
      </w:pPr>
      <w:r>
        <w:rPr>
          <w:b/>
          <w:bCs/>
        </w:rPr>
        <w:t>Enfin, KALIXIA vous propose également</w:t>
      </w:r>
      <w:r w:rsidR="00316E65">
        <w:rPr>
          <w:b/>
          <w:bCs/>
        </w:rPr>
        <w:t xml:space="preserve"> des prestataires en médecine douce (ostéopath</w:t>
      </w:r>
      <w:r>
        <w:rPr>
          <w:b/>
          <w:bCs/>
        </w:rPr>
        <w:t>i</w:t>
      </w:r>
      <w:r w:rsidR="00316E65">
        <w:rPr>
          <w:b/>
          <w:bCs/>
        </w:rPr>
        <w:t xml:space="preserve">e). </w:t>
      </w:r>
    </w:p>
    <w:p w14:paraId="3E9A2D35" w14:textId="77777777" w:rsidR="00316E65" w:rsidRDefault="00316E65" w:rsidP="00D16260">
      <w:pPr>
        <w:pStyle w:val="Paragraphedeliste"/>
        <w:jc w:val="both"/>
        <w:rPr>
          <w:b/>
          <w:bCs/>
        </w:rPr>
      </w:pPr>
    </w:p>
    <w:p w14:paraId="35CE1A87" w14:textId="77777777" w:rsidR="00031A95" w:rsidRPr="002D2107" w:rsidRDefault="00031A95" w:rsidP="00D16260">
      <w:pPr>
        <w:jc w:val="both"/>
        <w:rPr>
          <w:b/>
          <w:bCs/>
          <w:sz w:val="14"/>
          <w:szCs w:val="14"/>
        </w:rPr>
      </w:pPr>
    </w:p>
    <w:p w14:paraId="447C31DD" w14:textId="369ECE6B" w:rsidR="00AC4679" w:rsidRDefault="000617B6" w:rsidP="00D16260">
      <w:pPr>
        <w:jc w:val="both"/>
        <w:rPr>
          <w:b/>
          <w:bCs/>
        </w:rPr>
      </w:pPr>
      <w:r w:rsidRPr="000617B6">
        <w:rPr>
          <w:b/>
          <w:bCs/>
        </w:rPr>
        <w:t xml:space="preserve">Enfin, </w:t>
      </w:r>
      <w:r w:rsidR="00AC4679">
        <w:rPr>
          <w:b/>
          <w:bCs/>
        </w:rPr>
        <w:t xml:space="preserve">la FGTE CFDT et </w:t>
      </w:r>
      <w:r w:rsidR="00316E65">
        <w:rPr>
          <w:b/>
          <w:bCs/>
        </w:rPr>
        <w:t xml:space="preserve">MALAKOFF </w:t>
      </w:r>
      <w:r w:rsidR="00AC4679">
        <w:rPr>
          <w:b/>
          <w:bCs/>
        </w:rPr>
        <w:t>HUMANIS</w:t>
      </w:r>
      <w:r>
        <w:rPr>
          <w:b/>
          <w:bCs/>
        </w:rPr>
        <w:t xml:space="preserve"> </w:t>
      </w:r>
      <w:r w:rsidR="00316E65">
        <w:rPr>
          <w:b/>
          <w:bCs/>
        </w:rPr>
        <w:t>s’engage</w:t>
      </w:r>
      <w:r w:rsidR="00031A95">
        <w:rPr>
          <w:b/>
          <w:bCs/>
        </w:rPr>
        <w:t>nt</w:t>
      </w:r>
      <w:r w:rsidR="00316E65">
        <w:rPr>
          <w:b/>
          <w:bCs/>
        </w:rPr>
        <w:t xml:space="preserve"> à maintenir et </w:t>
      </w:r>
      <w:r w:rsidR="00031A95">
        <w:rPr>
          <w:b/>
          <w:bCs/>
        </w:rPr>
        <w:t>renforc</w:t>
      </w:r>
      <w:r w:rsidR="00316E65">
        <w:rPr>
          <w:b/>
          <w:bCs/>
        </w:rPr>
        <w:t>er</w:t>
      </w:r>
      <w:r w:rsidR="00031A95">
        <w:rPr>
          <w:b/>
          <w:bCs/>
        </w:rPr>
        <w:t xml:space="preserve"> le rôle</w:t>
      </w:r>
      <w:r w:rsidR="00316E65">
        <w:rPr>
          <w:b/>
          <w:bCs/>
        </w:rPr>
        <w:t xml:space="preserve"> </w:t>
      </w:r>
      <w:r w:rsidR="00031A95">
        <w:rPr>
          <w:b/>
          <w:bCs/>
        </w:rPr>
        <w:t>d</w:t>
      </w:r>
      <w:r w:rsidR="00316E65">
        <w:rPr>
          <w:b/>
          <w:bCs/>
        </w:rPr>
        <w:t xml:space="preserve">es </w:t>
      </w:r>
      <w:r>
        <w:rPr>
          <w:b/>
          <w:bCs/>
        </w:rPr>
        <w:t>« </w:t>
      </w:r>
      <w:r w:rsidR="00AC4679">
        <w:rPr>
          <w:b/>
          <w:bCs/>
        </w:rPr>
        <w:t>Ambassadeurs</w:t>
      </w:r>
      <w:r>
        <w:rPr>
          <w:b/>
          <w:bCs/>
        </w:rPr>
        <w:t> »</w:t>
      </w:r>
      <w:r w:rsidR="00AC4679">
        <w:rPr>
          <w:b/>
          <w:bCs/>
        </w:rPr>
        <w:t xml:space="preserve"> pour</w:t>
      </w:r>
      <w:r>
        <w:rPr>
          <w:b/>
          <w:bCs/>
        </w:rPr>
        <w:t xml:space="preserve"> aider au</w:t>
      </w:r>
      <w:r w:rsidR="00AC4679">
        <w:rPr>
          <w:b/>
          <w:bCs/>
        </w:rPr>
        <w:t xml:space="preserve"> pilot</w:t>
      </w:r>
      <w:r>
        <w:rPr>
          <w:b/>
          <w:bCs/>
        </w:rPr>
        <w:t>age du</w:t>
      </w:r>
      <w:r w:rsidR="00AC4679">
        <w:rPr>
          <w:b/>
          <w:bCs/>
        </w:rPr>
        <w:t xml:space="preserve"> contrat </w:t>
      </w:r>
      <w:r>
        <w:rPr>
          <w:b/>
          <w:bCs/>
        </w:rPr>
        <w:t xml:space="preserve">et </w:t>
      </w:r>
      <w:r w:rsidR="00AC4679">
        <w:rPr>
          <w:b/>
          <w:bCs/>
        </w:rPr>
        <w:t>améliorer l’information et la communication</w:t>
      </w:r>
      <w:r>
        <w:rPr>
          <w:b/>
          <w:bCs/>
        </w:rPr>
        <w:t xml:space="preserve"> auprès des </w:t>
      </w:r>
      <w:r w:rsidR="00F278E7">
        <w:rPr>
          <w:b/>
          <w:bCs/>
        </w:rPr>
        <w:t>A</w:t>
      </w:r>
      <w:r>
        <w:rPr>
          <w:b/>
          <w:bCs/>
        </w:rPr>
        <w:t xml:space="preserve">dhérents. Ce point sera </w:t>
      </w:r>
      <w:r w:rsidR="00316E65">
        <w:rPr>
          <w:b/>
          <w:bCs/>
        </w:rPr>
        <w:t xml:space="preserve">suivi par </w:t>
      </w:r>
      <w:r w:rsidR="00DF5A9A">
        <w:rPr>
          <w:b/>
          <w:bCs/>
        </w:rPr>
        <w:t>votre</w:t>
      </w:r>
      <w:r w:rsidR="00316E65">
        <w:rPr>
          <w:b/>
          <w:bCs/>
        </w:rPr>
        <w:t xml:space="preserve"> </w:t>
      </w:r>
      <w:r w:rsidR="00DF5A9A">
        <w:rPr>
          <w:b/>
          <w:bCs/>
        </w:rPr>
        <w:t>C</w:t>
      </w:r>
      <w:r w:rsidR="00316E65">
        <w:rPr>
          <w:b/>
          <w:bCs/>
        </w:rPr>
        <w:t xml:space="preserve">ommission. </w:t>
      </w:r>
    </w:p>
    <w:p w14:paraId="6B91CC9D" w14:textId="77777777" w:rsidR="00EF1916" w:rsidRPr="002D2107" w:rsidRDefault="00EF1916" w:rsidP="006248E0">
      <w:pPr>
        <w:rPr>
          <w:b/>
          <w:sz w:val="14"/>
          <w:szCs w:val="14"/>
        </w:rPr>
      </w:pPr>
    </w:p>
    <w:p w14:paraId="5363A15D" w14:textId="44B43F5E" w:rsidR="00C429E0" w:rsidRDefault="00EF1916" w:rsidP="00B41BF7">
      <w:pPr>
        <w:jc w:val="both"/>
        <w:rPr>
          <w:b/>
        </w:rPr>
      </w:pPr>
      <w:r>
        <w:rPr>
          <w:b/>
        </w:rPr>
        <w:t>Chers Adhérents,</w:t>
      </w:r>
      <w:r w:rsidR="00C429E0">
        <w:rPr>
          <w:b/>
        </w:rPr>
        <w:t xml:space="preserve"> pour ces prochaines années, nous</w:t>
      </w:r>
      <w:r>
        <w:rPr>
          <w:b/>
        </w:rPr>
        <w:t xml:space="preserve"> </w:t>
      </w:r>
      <w:r w:rsidR="00E42A65">
        <w:rPr>
          <w:b/>
        </w:rPr>
        <w:t>construi</w:t>
      </w:r>
      <w:r w:rsidR="00C429E0">
        <w:rPr>
          <w:b/>
        </w:rPr>
        <w:t>r</w:t>
      </w:r>
      <w:r w:rsidR="00E42A65">
        <w:rPr>
          <w:b/>
        </w:rPr>
        <w:t xml:space="preserve">ons </w:t>
      </w:r>
      <w:r w:rsidR="00031A95">
        <w:rPr>
          <w:b/>
        </w:rPr>
        <w:t>avec vous</w:t>
      </w:r>
      <w:r w:rsidR="00E42A65">
        <w:rPr>
          <w:b/>
        </w:rPr>
        <w:t xml:space="preserve"> un régime </w:t>
      </w:r>
      <w:r w:rsidR="00C429E0">
        <w:rPr>
          <w:b/>
        </w:rPr>
        <w:t>cohérent</w:t>
      </w:r>
      <w:r w:rsidR="00031A95">
        <w:rPr>
          <w:b/>
        </w:rPr>
        <w:t>, protecteur</w:t>
      </w:r>
      <w:r w:rsidR="00C429E0">
        <w:rPr>
          <w:b/>
        </w:rPr>
        <w:t xml:space="preserve"> et </w:t>
      </w:r>
      <w:r w:rsidR="00E42A65">
        <w:rPr>
          <w:b/>
        </w:rPr>
        <w:t>performant</w:t>
      </w:r>
      <w:r w:rsidR="00C429E0">
        <w:rPr>
          <w:b/>
        </w:rPr>
        <w:t> !</w:t>
      </w:r>
    </w:p>
    <w:p w14:paraId="30325037" w14:textId="77777777" w:rsidR="00C429E0" w:rsidRPr="00C429E0" w:rsidRDefault="00C429E0" w:rsidP="006248E0">
      <w:pPr>
        <w:rPr>
          <w:b/>
          <w:sz w:val="8"/>
          <w:szCs w:val="8"/>
        </w:rPr>
      </w:pPr>
    </w:p>
    <w:p w14:paraId="153C293F" w14:textId="77777777" w:rsidR="00C429E0" w:rsidRDefault="00C429E0" w:rsidP="006248E0">
      <w:pPr>
        <w:rPr>
          <w:b/>
        </w:rPr>
      </w:pPr>
      <w:r>
        <w:rPr>
          <w:b/>
        </w:rPr>
        <w:t>Syndicalement vôtre.</w:t>
      </w:r>
    </w:p>
    <w:p w14:paraId="40071281" w14:textId="77777777" w:rsidR="00C429E0" w:rsidRDefault="00C429E0" w:rsidP="00C429E0">
      <w:pPr>
        <w:spacing w:after="0"/>
        <w:rPr>
          <w:b/>
        </w:rPr>
      </w:pPr>
    </w:p>
    <w:p w14:paraId="2836068E" w14:textId="4DEAADE9" w:rsidR="006248E0" w:rsidRPr="00AC4679" w:rsidRDefault="006248E0" w:rsidP="00C429E0">
      <w:pPr>
        <w:spacing w:after="0"/>
        <w:rPr>
          <w:b/>
        </w:rPr>
      </w:pPr>
      <w:r w:rsidRPr="00AC4679">
        <w:rPr>
          <w:b/>
        </w:rPr>
        <w:t>Pour la FGTE</w:t>
      </w:r>
      <w:r>
        <w:rPr>
          <w:b/>
        </w:rPr>
        <w:t>-</w:t>
      </w:r>
      <w:r w:rsidRPr="00AC4679">
        <w:rPr>
          <w:b/>
        </w:rPr>
        <w:t xml:space="preserve">CFDT : </w:t>
      </w:r>
      <w:r w:rsidR="00C11B95">
        <w:rPr>
          <w:b/>
        </w:rPr>
        <w:t>Stéphane BOURGEON</w:t>
      </w:r>
    </w:p>
    <w:p w14:paraId="3BA64B28" w14:textId="1A00BCBA" w:rsidR="006248E0" w:rsidRPr="00AC4679" w:rsidRDefault="006248E0" w:rsidP="00C429E0">
      <w:pPr>
        <w:spacing w:after="0"/>
        <w:rPr>
          <w:b/>
        </w:rPr>
      </w:pPr>
      <w:r w:rsidRPr="00AC4679">
        <w:rPr>
          <w:b/>
        </w:rPr>
        <w:t xml:space="preserve">Pour le Groupe </w:t>
      </w:r>
      <w:r w:rsidR="00B41BF7">
        <w:rPr>
          <w:b/>
        </w:rPr>
        <w:t>MALAKOFF-</w:t>
      </w:r>
      <w:r w:rsidRPr="00AC4679">
        <w:rPr>
          <w:b/>
        </w:rPr>
        <w:t>HUMANIS : Claude TENIN</w:t>
      </w:r>
    </w:p>
    <w:p w14:paraId="49B1CEB0" w14:textId="77777777" w:rsidR="004056EA" w:rsidRPr="002D2107" w:rsidRDefault="004056EA" w:rsidP="00D16260">
      <w:pPr>
        <w:jc w:val="both"/>
        <w:rPr>
          <w:b/>
          <w:bCs/>
          <w:sz w:val="14"/>
          <w:szCs w:val="14"/>
        </w:rPr>
      </w:pPr>
    </w:p>
    <w:p w14:paraId="4553152C" w14:textId="77777777" w:rsidR="00AC4679" w:rsidRPr="004056EA" w:rsidRDefault="004056EA" w:rsidP="004056EA">
      <w:pPr>
        <w:jc w:val="center"/>
        <w:rPr>
          <w:sz w:val="40"/>
          <w:szCs w:val="40"/>
        </w:rPr>
      </w:pPr>
      <w:r w:rsidRPr="004056EA">
        <w:rPr>
          <w:sz w:val="40"/>
          <w:szCs w:val="40"/>
        </w:rPr>
        <w:t>*    *    *    *</w:t>
      </w:r>
    </w:p>
    <w:p w14:paraId="1F600DA8" w14:textId="5B161C20" w:rsidR="00AC4679" w:rsidRDefault="000617B6" w:rsidP="000617B6">
      <w:pPr>
        <w:jc w:val="center"/>
        <w:rPr>
          <w:b/>
          <w:sz w:val="32"/>
          <w:szCs w:val="32"/>
          <w:u w:val="single"/>
        </w:rPr>
      </w:pPr>
      <w:r w:rsidRPr="000617B6">
        <w:rPr>
          <w:b/>
          <w:sz w:val="32"/>
          <w:szCs w:val="32"/>
          <w:u w:val="single"/>
        </w:rPr>
        <w:t>TABLEAU RECAPITULATIF DES COTISATIONS</w:t>
      </w:r>
      <w:r w:rsidR="00AC4679" w:rsidRPr="000617B6">
        <w:rPr>
          <w:b/>
          <w:sz w:val="32"/>
          <w:szCs w:val="32"/>
          <w:u w:val="single"/>
        </w:rPr>
        <w:t xml:space="preserve"> 20</w:t>
      </w:r>
      <w:r w:rsidR="00316E65">
        <w:rPr>
          <w:b/>
          <w:sz w:val="32"/>
          <w:szCs w:val="32"/>
          <w:u w:val="single"/>
        </w:rPr>
        <w:t>2</w:t>
      </w:r>
      <w:r w:rsidR="000B51A5">
        <w:rPr>
          <w:b/>
          <w:sz w:val="32"/>
          <w:szCs w:val="32"/>
          <w:u w:val="single"/>
        </w:rPr>
        <w:t>3</w:t>
      </w:r>
    </w:p>
    <w:p w14:paraId="747DF31F" w14:textId="77777777" w:rsidR="004E0F0D" w:rsidRPr="004E0F0D" w:rsidRDefault="004E0F0D" w:rsidP="000617B6">
      <w:pPr>
        <w:jc w:val="center"/>
        <w:rPr>
          <w:b/>
          <w:sz w:val="20"/>
          <w:szCs w:val="20"/>
          <w:u w:val="single"/>
        </w:rPr>
      </w:pPr>
    </w:p>
    <w:tbl>
      <w:tblPr>
        <w:tblW w:w="10850" w:type="dxa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2126"/>
        <w:gridCol w:w="1559"/>
        <w:gridCol w:w="1418"/>
        <w:gridCol w:w="1417"/>
        <w:gridCol w:w="2345"/>
      </w:tblGrid>
      <w:tr w:rsidR="00AC4679" w14:paraId="0A878432" w14:textId="77777777" w:rsidTr="00031A95">
        <w:trPr>
          <w:trHeight w:val="390"/>
        </w:trPr>
        <w:tc>
          <w:tcPr>
            <w:tcW w:w="19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79B9116" w14:textId="77777777" w:rsidR="00AC4679" w:rsidRPr="004E0F0D" w:rsidRDefault="00AC467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619D3BC" w14:textId="77777777" w:rsidR="00AC4679" w:rsidRPr="004E0F0D" w:rsidRDefault="00AC46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3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9BC2E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DC8580" w14:textId="606D02C3" w:rsidR="00AC4679" w:rsidRPr="004E0F0D" w:rsidRDefault="00AC46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E0F0D">
              <w:rPr>
                <w:b/>
                <w:bCs/>
                <w:color w:val="000000"/>
                <w:sz w:val="24"/>
                <w:szCs w:val="24"/>
                <w:lang w:eastAsia="fr-FR"/>
              </w:rPr>
              <w:t>20</w:t>
            </w:r>
            <w:r w:rsidR="00316E65" w:rsidRPr="004E0F0D">
              <w:rPr>
                <w:b/>
                <w:bCs/>
                <w:color w:val="000000"/>
                <w:sz w:val="24"/>
                <w:szCs w:val="24"/>
                <w:lang w:eastAsia="fr-FR"/>
              </w:rPr>
              <w:t>22</w:t>
            </w:r>
            <w:r w:rsidRPr="004E0F0D">
              <w:rPr>
                <w:b/>
                <w:bCs/>
                <w:color w:val="000000"/>
                <w:sz w:val="24"/>
                <w:szCs w:val="24"/>
                <w:lang w:eastAsia="fr-FR"/>
              </w:rPr>
              <w:t xml:space="preserve"> Régime Général</w:t>
            </w:r>
          </w:p>
        </w:tc>
        <w:tc>
          <w:tcPr>
            <w:tcW w:w="2345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1FA4DCD" w14:textId="77777777" w:rsidR="00AC4679" w:rsidRPr="00AF702B" w:rsidRDefault="00AC4679">
            <w:pPr>
              <w:jc w:val="center"/>
              <w:rPr>
                <w:b/>
                <w:color w:val="000000"/>
                <w:lang w:eastAsia="fr-FR"/>
              </w:rPr>
            </w:pPr>
            <w:r w:rsidRPr="00AF702B">
              <w:rPr>
                <w:b/>
                <w:color w:val="000000"/>
                <w:lang w:eastAsia="fr-FR"/>
              </w:rPr>
              <w:t>Contrat Juridique</w:t>
            </w:r>
          </w:p>
        </w:tc>
      </w:tr>
      <w:tr w:rsidR="00AF702B" w14:paraId="283B1F46" w14:textId="77777777" w:rsidTr="00031A95">
        <w:trPr>
          <w:trHeight w:val="529"/>
        </w:trPr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BE73A06" w14:textId="77777777" w:rsidR="00AC4679" w:rsidRPr="004E0F0D" w:rsidRDefault="00AC4679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E0F0D">
              <w:rPr>
                <w:b/>
                <w:bCs/>
                <w:color w:val="000000"/>
                <w:sz w:val="24"/>
                <w:szCs w:val="24"/>
                <w:lang w:eastAsia="fr-FR"/>
              </w:rPr>
              <w:t>Collège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0A9B313" w14:textId="77777777" w:rsidR="00AC4679" w:rsidRPr="004E0F0D" w:rsidRDefault="00AC4679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E0F0D">
              <w:rPr>
                <w:b/>
                <w:bCs/>
                <w:color w:val="000000"/>
                <w:sz w:val="24"/>
                <w:szCs w:val="24"/>
                <w:lang w:eastAsia="fr-FR"/>
              </w:rPr>
              <w:t>Risque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947B0E6" w14:textId="77777777" w:rsidR="00AC4679" w:rsidRPr="004E0F0D" w:rsidRDefault="00AC467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  <w:lang w:eastAsia="fr-FR"/>
              </w:rPr>
            </w:pPr>
            <w:r w:rsidRPr="004E0F0D">
              <w:rPr>
                <w:b/>
                <w:bCs/>
                <w:i/>
                <w:iCs/>
                <w:color w:val="000000"/>
                <w:sz w:val="24"/>
                <w:szCs w:val="24"/>
                <w:lang w:eastAsia="fr-FR"/>
              </w:rPr>
              <w:t>1P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5A4EF4" w14:textId="77777777" w:rsidR="00AC4679" w:rsidRPr="004E0F0D" w:rsidRDefault="00AC4679">
            <w:pPr>
              <w:jc w:val="center"/>
              <w:rPr>
                <w:b/>
                <w:bCs/>
                <w:i/>
                <w:iCs/>
                <w:sz w:val="24"/>
                <w:szCs w:val="24"/>
                <w:lang w:eastAsia="fr-FR"/>
              </w:rPr>
            </w:pPr>
            <w:r w:rsidRPr="004E0F0D">
              <w:rPr>
                <w:b/>
                <w:bCs/>
                <w:i/>
                <w:iCs/>
                <w:sz w:val="24"/>
                <w:szCs w:val="24"/>
                <w:lang w:eastAsia="fr-FR"/>
              </w:rPr>
              <w:t>2P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993D9F4" w14:textId="77777777" w:rsidR="00AC4679" w:rsidRPr="004E0F0D" w:rsidRDefault="00AC4679">
            <w:pPr>
              <w:jc w:val="center"/>
              <w:rPr>
                <w:b/>
                <w:bCs/>
                <w:i/>
                <w:iCs/>
                <w:sz w:val="24"/>
                <w:szCs w:val="24"/>
                <w:lang w:eastAsia="fr-FR"/>
              </w:rPr>
            </w:pPr>
            <w:r w:rsidRPr="004E0F0D">
              <w:rPr>
                <w:b/>
                <w:bCs/>
                <w:i/>
                <w:iCs/>
                <w:sz w:val="24"/>
                <w:szCs w:val="24"/>
                <w:lang w:eastAsia="fr-FR"/>
              </w:rPr>
              <w:t>3P</w:t>
            </w:r>
          </w:p>
        </w:tc>
        <w:tc>
          <w:tcPr>
            <w:tcW w:w="2345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81D5462" w14:textId="77777777" w:rsidR="00AC4679" w:rsidRDefault="00AC4679">
            <w:pPr>
              <w:rPr>
                <w:rFonts w:ascii="Calibri" w:hAnsi="Calibri" w:cs="Calibri"/>
                <w:color w:val="000000"/>
                <w:lang w:eastAsia="fr-FR"/>
              </w:rPr>
            </w:pPr>
          </w:p>
        </w:tc>
      </w:tr>
      <w:tr w:rsidR="00AC4679" w14:paraId="00A1C1BF" w14:textId="77777777" w:rsidTr="004E0F0D">
        <w:trPr>
          <w:trHeight w:val="450"/>
        </w:trPr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2B9AF1" w14:textId="77777777" w:rsidR="00AC4679" w:rsidRDefault="00AC4679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E3F993" w14:textId="77777777" w:rsidR="00AC4679" w:rsidRDefault="00AC4679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EA5724" w14:textId="77777777" w:rsidR="00AC4679" w:rsidRDefault="00AC4679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1DD8A4" w14:textId="77777777" w:rsidR="00AC4679" w:rsidRDefault="00AC4679">
            <w:pPr>
              <w:rPr>
                <w:rFonts w:ascii="Calibri" w:hAnsi="Calibri" w:cs="Calibri"/>
                <w:b/>
                <w:bCs/>
                <w:i/>
                <w:iCs/>
                <w:sz w:val="28"/>
                <w:szCs w:val="28"/>
                <w:lang w:eastAsia="fr-FR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0D003F" w14:textId="77777777" w:rsidR="00AC4679" w:rsidRDefault="00AC4679">
            <w:pPr>
              <w:rPr>
                <w:rFonts w:ascii="Calibri" w:hAnsi="Calibri" w:cs="Calibri"/>
                <w:b/>
                <w:bCs/>
                <w:i/>
                <w:iCs/>
                <w:sz w:val="28"/>
                <w:szCs w:val="28"/>
                <w:lang w:eastAsia="fr-FR"/>
              </w:rPr>
            </w:pPr>
          </w:p>
        </w:tc>
        <w:tc>
          <w:tcPr>
            <w:tcW w:w="2345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0CCF1D3F" w14:textId="77777777" w:rsidR="00AC4679" w:rsidRDefault="00AC4679">
            <w:pPr>
              <w:rPr>
                <w:rFonts w:ascii="Calibri" w:hAnsi="Calibri" w:cs="Calibri"/>
                <w:color w:val="000000"/>
                <w:lang w:eastAsia="fr-FR"/>
              </w:rPr>
            </w:pPr>
          </w:p>
        </w:tc>
      </w:tr>
      <w:tr w:rsidR="00AF702B" w14:paraId="15FB8BBA" w14:textId="77777777" w:rsidTr="00031A95">
        <w:trPr>
          <w:trHeight w:val="499"/>
        </w:trPr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8927747" w14:textId="77777777" w:rsidR="00AC4679" w:rsidRPr="004E0F0D" w:rsidRDefault="00AC4679">
            <w:pPr>
              <w:jc w:val="center"/>
              <w:rPr>
                <w:color w:val="000000"/>
                <w:sz w:val="24"/>
                <w:szCs w:val="24"/>
                <w:lang w:eastAsia="fr-FR"/>
              </w:rPr>
            </w:pPr>
            <w:r w:rsidRPr="004E0F0D">
              <w:rPr>
                <w:color w:val="000000"/>
                <w:sz w:val="24"/>
                <w:szCs w:val="24"/>
                <w:lang w:eastAsia="fr-FR"/>
              </w:rPr>
              <w:t>Ensemble des Adhérents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5F6D629" w14:textId="77777777" w:rsidR="00AC4679" w:rsidRPr="004E0F0D" w:rsidRDefault="00AC4679">
            <w:pPr>
              <w:jc w:val="center"/>
              <w:rPr>
                <w:color w:val="000000"/>
                <w:sz w:val="24"/>
                <w:szCs w:val="24"/>
                <w:lang w:eastAsia="fr-FR"/>
              </w:rPr>
            </w:pPr>
            <w:r w:rsidRPr="004E0F0D">
              <w:rPr>
                <w:color w:val="000000"/>
                <w:sz w:val="24"/>
                <w:szCs w:val="24"/>
                <w:lang w:eastAsia="fr-FR"/>
              </w:rPr>
              <w:t>Frais de santé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9828908" w14:textId="2D604C1C" w:rsidR="00AC4679" w:rsidRDefault="00AC4679">
            <w:pPr>
              <w:jc w:val="center"/>
              <w:rPr>
                <w:color w:val="000000"/>
                <w:lang w:eastAsia="fr-FR"/>
              </w:rPr>
            </w:pPr>
            <w:r>
              <w:rPr>
                <w:color w:val="000000"/>
                <w:lang w:eastAsia="fr-FR"/>
              </w:rPr>
              <w:t>2,</w:t>
            </w:r>
            <w:r w:rsidR="00D943E8">
              <w:rPr>
                <w:color w:val="000000"/>
                <w:lang w:eastAsia="fr-FR"/>
              </w:rPr>
              <w:t>78</w:t>
            </w:r>
            <w:r>
              <w:rPr>
                <w:color w:val="000000"/>
                <w:lang w:eastAsia="fr-FR"/>
              </w:rPr>
              <w:t xml:space="preserve"> %</w:t>
            </w:r>
            <w:r w:rsidR="004E0F0D">
              <w:rPr>
                <w:color w:val="000000"/>
                <w:lang w:eastAsia="fr-FR"/>
              </w:rPr>
              <w:t xml:space="preserve"> </w:t>
            </w:r>
            <w:r>
              <w:rPr>
                <w:color w:val="000000"/>
                <w:lang w:eastAsia="fr-FR"/>
              </w:rPr>
              <w:t>PMSS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FCFE334" w14:textId="62549EF1" w:rsidR="00AC4679" w:rsidRDefault="00D943E8">
            <w:pPr>
              <w:jc w:val="center"/>
              <w:rPr>
                <w:color w:val="000000"/>
                <w:lang w:eastAsia="fr-FR"/>
              </w:rPr>
            </w:pPr>
            <w:r>
              <w:rPr>
                <w:color w:val="000000"/>
                <w:lang w:eastAsia="fr-FR"/>
              </w:rPr>
              <w:t>5,55</w:t>
            </w:r>
            <w:r w:rsidR="00AC4679">
              <w:rPr>
                <w:color w:val="000000"/>
                <w:lang w:eastAsia="fr-FR"/>
              </w:rPr>
              <w:t xml:space="preserve"> %</w:t>
            </w:r>
            <w:r w:rsidR="004E0F0D">
              <w:rPr>
                <w:color w:val="000000"/>
                <w:lang w:eastAsia="fr-FR"/>
              </w:rPr>
              <w:t xml:space="preserve"> </w:t>
            </w:r>
            <w:r w:rsidR="00AC4679">
              <w:rPr>
                <w:color w:val="000000"/>
                <w:lang w:eastAsia="fr-FR"/>
              </w:rPr>
              <w:t>PMSS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54C1FEC" w14:textId="63627C69" w:rsidR="00AC4679" w:rsidRDefault="00D943E8">
            <w:pPr>
              <w:jc w:val="center"/>
              <w:rPr>
                <w:color w:val="000000"/>
                <w:lang w:eastAsia="fr-FR"/>
              </w:rPr>
            </w:pPr>
            <w:r>
              <w:rPr>
                <w:color w:val="000000"/>
                <w:lang w:eastAsia="fr-FR"/>
              </w:rPr>
              <w:t>8,99</w:t>
            </w:r>
            <w:r w:rsidR="00AC4679">
              <w:rPr>
                <w:color w:val="000000"/>
                <w:lang w:eastAsia="fr-FR"/>
              </w:rPr>
              <w:t>%</w:t>
            </w:r>
            <w:r w:rsidR="004E0F0D">
              <w:rPr>
                <w:color w:val="000000"/>
                <w:lang w:eastAsia="fr-FR"/>
              </w:rPr>
              <w:t xml:space="preserve"> </w:t>
            </w:r>
            <w:r w:rsidR="00AC4679">
              <w:rPr>
                <w:color w:val="000000"/>
                <w:lang w:eastAsia="fr-FR"/>
              </w:rPr>
              <w:t>PMSS</w:t>
            </w:r>
          </w:p>
        </w:tc>
        <w:tc>
          <w:tcPr>
            <w:tcW w:w="234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4719F5E" w14:textId="77777777" w:rsidR="00AC4679" w:rsidRDefault="00AC4679">
            <w:pPr>
              <w:jc w:val="center"/>
              <w:rPr>
                <w:color w:val="000000"/>
                <w:lang w:eastAsia="fr-FR"/>
              </w:rPr>
            </w:pPr>
            <w:r>
              <w:rPr>
                <w:color w:val="000000"/>
                <w:lang w:eastAsia="fr-FR"/>
              </w:rPr>
              <w:t>HUM20130000261S-A</w:t>
            </w:r>
          </w:p>
        </w:tc>
      </w:tr>
      <w:tr w:rsidR="00AC4679" w14:paraId="39DCD2D3" w14:textId="77777777" w:rsidTr="00031A95">
        <w:trPr>
          <w:trHeight w:val="499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2C2959" w14:textId="77777777" w:rsidR="00AC4679" w:rsidRDefault="00AC4679">
            <w:pPr>
              <w:rPr>
                <w:rFonts w:ascii="Calibri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3B1FD0" w14:textId="77777777" w:rsidR="00AC4679" w:rsidRDefault="00AC4679">
            <w:pPr>
              <w:rPr>
                <w:rFonts w:ascii="Calibri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A40385F" w14:textId="0944F43C" w:rsidR="00AC4679" w:rsidRPr="004E0F0D" w:rsidRDefault="00D943E8">
            <w:pPr>
              <w:jc w:val="center"/>
              <w:rPr>
                <w:b/>
                <w:bCs/>
                <w:color w:val="000000"/>
                <w:lang w:eastAsia="fr-FR"/>
              </w:rPr>
            </w:pPr>
            <w:r w:rsidRPr="004E0F0D">
              <w:rPr>
                <w:b/>
                <w:bCs/>
                <w:color w:val="000000"/>
                <w:lang w:eastAsia="fr-FR"/>
              </w:rPr>
              <w:t>9</w:t>
            </w:r>
            <w:r w:rsidR="000B51A5">
              <w:rPr>
                <w:b/>
                <w:bCs/>
                <w:color w:val="000000"/>
                <w:lang w:eastAsia="fr-FR"/>
              </w:rPr>
              <w:t>8</w:t>
            </w:r>
            <w:r w:rsidRPr="004E0F0D">
              <w:rPr>
                <w:b/>
                <w:bCs/>
                <w:color w:val="000000"/>
                <w:lang w:eastAsia="fr-FR"/>
              </w:rPr>
              <w:t>,</w:t>
            </w:r>
            <w:r w:rsidR="000B51A5">
              <w:rPr>
                <w:b/>
                <w:bCs/>
                <w:color w:val="000000"/>
                <w:lang w:eastAsia="fr-FR"/>
              </w:rPr>
              <w:t>31</w:t>
            </w:r>
            <w:r w:rsidR="00AC4679" w:rsidRPr="004E0F0D">
              <w:rPr>
                <w:b/>
                <w:bCs/>
                <w:color w:val="000000"/>
                <w:lang w:eastAsia="fr-FR"/>
              </w:rPr>
              <w:t xml:space="preserve"> €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CBF44C4" w14:textId="16A6837A" w:rsidR="00AC4679" w:rsidRPr="004E0F0D" w:rsidRDefault="00D943E8">
            <w:pPr>
              <w:jc w:val="center"/>
              <w:rPr>
                <w:b/>
                <w:bCs/>
                <w:color w:val="000000"/>
                <w:lang w:eastAsia="fr-FR"/>
              </w:rPr>
            </w:pPr>
            <w:r w:rsidRPr="004E0F0D">
              <w:rPr>
                <w:b/>
                <w:bCs/>
                <w:color w:val="000000"/>
                <w:lang w:eastAsia="fr-FR"/>
              </w:rPr>
              <w:t>19</w:t>
            </w:r>
            <w:r w:rsidR="000B51A5">
              <w:rPr>
                <w:b/>
                <w:bCs/>
                <w:color w:val="000000"/>
                <w:lang w:eastAsia="fr-FR"/>
              </w:rPr>
              <w:t>6</w:t>
            </w:r>
            <w:r w:rsidRPr="004E0F0D">
              <w:rPr>
                <w:b/>
                <w:bCs/>
                <w:color w:val="000000"/>
                <w:lang w:eastAsia="fr-FR"/>
              </w:rPr>
              <w:t>,</w:t>
            </w:r>
            <w:r w:rsidR="000B51A5">
              <w:rPr>
                <w:b/>
                <w:bCs/>
                <w:color w:val="000000"/>
                <w:lang w:eastAsia="fr-FR"/>
              </w:rPr>
              <w:t>62</w:t>
            </w:r>
            <w:r w:rsidR="00AC4679" w:rsidRPr="004E0F0D">
              <w:rPr>
                <w:b/>
                <w:bCs/>
                <w:color w:val="000000"/>
                <w:lang w:eastAsia="fr-FR"/>
              </w:rPr>
              <w:t xml:space="preserve"> €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0BDEC25" w14:textId="1B01B22C" w:rsidR="00AC4679" w:rsidRPr="004E0F0D" w:rsidRDefault="00C11B95" w:rsidP="00C11B95">
            <w:pPr>
              <w:jc w:val="center"/>
              <w:rPr>
                <w:b/>
                <w:bCs/>
                <w:color w:val="000000"/>
                <w:lang w:eastAsia="fr-FR"/>
              </w:rPr>
            </w:pPr>
            <w:r>
              <w:rPr>
                <w:b/>
                <w:bCs/>
                <w:color w:val="000000"/>
                <w:lang w:eastAsia="fr-FR"/>
              </w:rPr>
              <w:t>294</w:t>
            </w:r>
            <w:r w:rsidR="00D943E8" w:rsidRPr="004E0F0D">
              <w:rPr>
                <w:b/>
                <w:bCs/>
                <w:color w:val="000000"/>
                <w:lang w:eastAsia="fr-FR"/>
              </w:rPr>
              <w:t>,</w:t>
            </w:r>
            <w:r>
              <w:rPr>
                <w:b/>
                <w:bCs/>
                <w:color w:val="000000"/>
                <w:lang w:eastAsia="fr-FR"/>
              </w:rPr>
              <w:t>93</w:t>
            </w:r>
            <w:r w:rsidR="00AC4679" w:rsidRPr="004E0F0D">
              <w:rPr>
                <w:b/>
                <w:bCs/>
                <w:color w:val="000000"/>
                <w:lang w:eastAsia="fr-FR"/>
              </w:rPr>
              <w:t xml:space="preserve"> €</w:t>
            </w:r>
          </w:p>
        </w:tc>
        <w:tc>
          <w:tcPr>
            <w:tcW w:w="234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191239" w14:textId="77777777" w:rsidR="00AC4679" w:rsidRDefault="00AC4679">
            <w:pPr>
              <w:rPr>
                <w:rFonts w:ascii="Calibri" w:hAnsi="Calibri" w:cs="Calibri"/>
                <w:color w:val="000000"/>
                <w:lang w:eastAsia="fr-FR"/>
              </w:rPr>
            </w:pPr>
          </w:p>
        </w:tc>
      </w:tr>
      <w:tr w:rsidR="00AC4679" w14:paraId="1DAFD5D0" w14:textId="77777777" w:rsidTr="00031A95">
        <w:trPr>
          <w:trHeight w:val="300"/>
        </w:trPr>
        <w:tc>
          <w:tcPr>
            <w:tcW w:w="19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790B262" w14:textId="77777777" w:rsidR="00AC4679" w:rsidRDefault="00AC4679">
            <w:pPr>
              <w:rPr>
                <w:color w:val="000000"/>
                <w:lang w:eastAsia="fr-FR"/>
              </w:rPr>
            </w:pPr>
          </w:p>
        </w:tc>
        <w:tc>
          <w:tcPr>
            <w:tcW w:w="212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51834B7" w14:textId="77777777" w:rsidR="00AC4679" w:rsidRDefault="00AC46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CAB2585" w14:textId="77777777" w:rsidR="00AC4679" w:rsidRDefault="00AC46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1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CCB65BD" w14:textId="77777777" w:rsidR="00AC4679" w:rsidRDefault="00AC46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1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20AD868" w14:textId="77777777" w:rsidR="00AC4679" w:rsidRDefault="00AC46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34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51CD1F7" w14:textId="77777777" w:rsidR="00AC4679" w:rsidRDefault="00AC46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</w:tbl>
    <w:p w14:paraId="28ED26AE" w14:textId="77777777" w:rsidR="00AC4679" w:rsidRDefault="00AC4679"/>
    <w:sectPr w:rsidR="00AC4679" w:rsidSect="00AC4679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C7C0B" w14:textId="77777777" w:rsidR="00D358A8" w:rsidRDefault="00D358A8" w:rsidP="006248E0">
      <w:pPr>
        <w:spacing w:after="0" w:line="240" w:lineRule="auto"/>
      </w:pPr>
      <w:r>
        <w:separator/>
      </w:r>
    </w:p>
  </w:endnote>
  <w:endnote w:type="continuationSeparator" w:id="0">
    <w:p w14:paraId="61BB6787" w14:textId="77777777" w:rsidR="00D358A8" w:rsidRDefault="00D358A8" w:rsidP="00624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DDCAA" w14:textId="77777777" w:rsidR="00D358A8" w:rsidRDefault="00D358A8" w:rsidP="006248E0">
      <w:pPr>
        <w:spacing w:after="0" w:line="240" w:lineRule="auto"/>
      </w:pPr>
      <w:r>
        <w:separator/>
      </w:r>
    </w:p>
  </w:footnote>
  <w:footnote w:type="continuationSeparator" w:id="0">
    <w:p w14:paraId="4144BE5C" w14:textId="77777777" w:rsidR="00D358A8" w:rsidRDefault="00D358A8" w:rsidP="00624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5D8E9" w14:textId="20CEF13F" w:rsidR="006248E0" w:rsidRDefault="00B41BF7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1312" behindDoc="0" locked="0" layoutInCell="1" allowOverlap="1" wp14:anchorId="36AEA61C" wp14:editId="5FAE554A">
          <wp:simplePos x="0" y="0"/>
          <wp:positionH relativeFrom="column">
            <wp:posOffset>3951605</wp:posOffset>
          </wp:positionH>
          <wp:positionV relativeFrom="paragraph">
            <wp:posOffset>-100330</wp:posOffset>
          </wp:positionV>
          <wp:extent cx="2677160" cy="447675"/>
          <wp:effectExtent l="0" t="0" r="8890" b="9525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7160" cy="447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D2107" w:rsidRPr="002D2107">
      <w:rPr>
        <w:noProof/>
      </w:rPr>
      <w:drawing>
        <wp:anchor distT="0" distB="0" distL="114300" distR="114300" simplePos="0" relativeHeight="251662336" behindDoc="0" locked="0" layoutInCell="1" allowOverlap="1" wp14:anchorId="152958C5" wp14:editId="3E09B57C">
          <wp:simplePos x="0" y="0"/>
          <wp:positionH relativeFrom="column">
            <wp:posOffset>3448050</wp:posOffset>
          </wp:positionH>
          <wp:positionV relativeFrom="paragraph">
            <wp:posOffset>-144780</wp:posOffset>
          </wp:positionV>
          <wp:extent cx="1657435" cy="571529"/>
          <wp:effectExtent l="0" t="0" r="0" b="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7435" cy="5715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248E0" w:rsidRPr="006248E0">
      <w:rPr>
        <w:noProof/>
        <w:lang w:eastAsia="fr-FR"/>
      </w:rPr>
      <w:drawing>
        <wp:anchor distT="36576" distB="36576" distL="36576" distR="36576" simplePos="0" relativeHeight="251660288" behindDoc="0" locked="0" layoutInCell="1" allowOverlap="1" wp14:anchorId="302288DE" wp14:editId="37E9878A">
          <wp:simplePos x="0" y="0"/>
          <wp:positionH relativeFrom="column">
            <wp:posOffset>161925</wp:posOffset>
          </wp:positionH>
          <wp:positionV relativeFrom="paragraph">
            <wp:posOffset>-211455</wp:posOffset>
          </wp:positionV>
          <wp:extent cx="685800" cy="692785"/>
          <wp:effectExtent l="0" t="0" r="0" b="0"/>
          <wp:wrapNone/>
          <wp:docPr id="13" name="Imag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9278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248E0" w:rsidRPr="006248E0">
      <w:rPr>
        <w:noProof/>
        <w:lang w:eastAsia="fr-FR"/>
      </w:rPr>
      <w:drawing>
        <wp:anchor distT="36576" distB="36576" distL="36576" distR="36576" simplePos="0" relativeHeight="251659264" behindDoc="0" locked="0" layoutInCell="1" allowOverlap="1" wp14:anchorId="15017946" wp14:editId="7496387C">
          <wp:simplePos x="0" y="0"/>
          <wp:positionH relativeFrom="column">
            <wp:posOffset>876300</wp:posOffset>
          </wp:positionH>
          <wp:positionV relativeFrom="paragraph">
            <wp:posOffset>-87630</wp:posOffset>
          </wp:positionV>
          <wp:extent cx="714375" cy="438785"/>
          <wp:effectExtent l="0" t="0" r="0" b="0"/>
          <wp:wrapNone/>
          <wp:docPr id="8" name="Image 8" descr="logo-cfdt-fgte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cfdt-fgte[1]"/>
                  <pic:cNvPicPr>
                    <a:picLocks noChangeAspect="1" noChangeArrowheads="1"/>
                  </pic:cNvPicPr>
                </pic:nvPicPr>
                <pic:blipFill>
                  <a:blip r:embed="rId4">
                    <a:lum contrast="4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572" r="-5083" b="4076"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43878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405B8C"/>
    <w:multiLevelType w:val="hybridMultilevel"/>
    <w:tmpl w:val="21F2BBCC"/>
    <w:lvl w:ilvl="0" w:tplc="8326C57E">
      <w:start w:val="2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54058D"/>
    <w:multiLevelType w:val="hybridMultilevel"/>
    <w:tmpl w:val="040228BC"/>
    <w:lvl w:ilvl="0" w:tplc="8E26B59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679"/>
    <w:rsid w:val="0002472D"/>
    <w:rsid w:val="00031A95"/>
    <w:rsid w:val="0003473F"/>
    <w:rsid w:val="000617B6"/>
    <w:rsid w:val="00095328"/>
    <w:rsid w:val="000B51A5"/>
    <w:rsid w:val="00114E7D"/>
    <w:rsid w:val="00156DCB"/>
    <w:rsid w:val="001A4FBE"/>
    <w:rsid w:val="001C1BA7"/>
    <w:rsid w:val="001E74DF"/>
    <w:rsid w:val="001F44DF"/>
    <w:rsid w:val="00200A5A"/>
    <w:rsid w:val="00205933"/>
    <w:rsid w:val="00225C47"/>
    <w:rsid w:val="00227065"/>
    <w:rsid w:val="00235CE4"/>
    <w:rsid w:val="00273662"/>
    <w:rsid w:val="00293075"/>
    <w:rsid w:val="002B092F"/>
    <w:rsid w:val="002D2107"/>
    <w:rsid w:val="002E669A"/>
    <w:rsid w:val="00316E65"/>
    <w:rsid w:val="003A25D5"/>
    <w:rsid w:val="003A35DF"/>
    <w:rsid w:val="003D492A"/>
    <w:rsid w:val="00400CFE"/>
    <w:rsid w:val="004056EA"/>
    <w:rsid w:val="004A0D22"/>
    <w:rsid w:val="004A2590"/>
    <w:rsid w:val="004C1C2E"/>
    <w:rsid w:val="004E0F0D"/>
    <w:rsid w:val="005122A6"/>
    <w:rsid w:val="006248E0"/>
    <w:rsid w:val="006C79E2"/>
    <w:rsid w:val="007317E4"/>
    <w:rsid w:val="00741595"/>
    <w:rsid w:val="007648E4"/>
    <w:rsid w:val="007A1C56"/>
    <w:rsid w:val="008410A7"/>
    <w:rsid w:val="00862522"/>
    <w:rsid w:val="008936EB"/>
    <w:rsid w:val="009014C7"/>
    <w:rsid w:val="009B0C22"/>
    <w:rsid w:val="009C4F3F"/>
    <w:rsid w:val="009D540D"/>
    <w:rsid w:val="00A77F10"/>
    <w:rsid w:val="00AC4139"/>
    <w:rsid w:val="00AC4679"/>
    <w:rsid w:val="00AD2FEC"/>
    <w:rsid w:val="00AF702B"/>
    <w:rsid w:val="00B04D7F"/>
    <w:rsid w:val="00B32055"/>
    <w:rsid w:val="00B41BF7"/>
    <w:rsid w:val="00C11B95"/>
    <w:rsid w:val="00C429E0"/>
    <w:rsid w:val="00C5498C"/>
    <w:rsid w:val="00C96BEB"/>
    <w:rsid w:val="00D15406"/>
    <w:rsid w:val="00D16260"/>
    <w:rsid w:val="00D358A8"/>
    <w:rsid w:val="00D943E8"/>
    <w:rsid w:val="00DF5A9A"/>
    <w:rsid w:val="00E42A65"/>
    <w:rsid w:val="00E66D9E"/>
    <w:rsid w:val="00E8287A"/>
    <w:rsid w:val="00EF1916"/>
    <w:rsid w:val="00F15838"/>
    <w:rsid w:val="00F278E7"/>
    <w:rsid w:val="00FA7308"/>
    <w:rsid w:val="00FE05F5"/>
    <w:rsid w:val="00FE3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58CDDFD"/>
  <w15:chartTrackingRefBased/>
  <w15:docId w15:val="{A4993F60-6966-4620-846A-933DC132C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C4679"/>
    <w:pPr>
      <w:spacing w:after="0" w:line="240" w:lineRule="auto"/>
      <w:ind w:left="720"/>
    </w:pPr>
    <w:rPr>
      <w:rFonts w:ascii="Calibri" w:hAnsi="Calibri" w:cs="Calibri"/>
    </w:rPr>
  </w:style>
  <w:style w:type="character" w:styleId="Lienhypertexte">
    <w:name w:val="Hyperlink"/>
    <w:basedOn w:val="Policepardfaut"/>
    <w:uiPriority w:val="99"/>
    <w:unhideWhenUsed/>
    <w:rsid w:val="004A0D2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4A0D22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6248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248E0"/>
  </w:style>
  <w:style w:type="paragraph" w:styleId="Pieddepage">
    <w:name w:val="footer"/>
    <w:basedOn w:val="Normal"/>
    <w:link w:val="PieddepageCar"/>
    <w:uiPriority w:val="99"/>
    <w:unhideWhenUsed/>
    <w:rsid w:val="006248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248E0"/>
  </w:style>
  <w:style w:type="paragraph" w:styleId="NormalWeb">
    <w:name w:val="Normal (Web)"/>
    <w:basedOn w:val="Normal"/>
    <w:uiPriority w:val="99"/>
    <w:semiHidden/>
    <w:unhideWhenUsed/>
    <w:rsid w:val="00FE3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4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753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HUMANIS</Company>
  <LinksUpToDate>false</LinksUpToDate>
  <CharactersWithSpaces>4889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TENIN Claude</dc:creator>
  <cp:keywords/>
  <dc:description/>
  <cp:lastModifiedBy>Claude TENIN</cp:lastModifiedBy>
  <cp:revision>2</cp:revision>
  <cp:lastPrinted>2021-12-22T14:56:00Z</cp:lastPrinted>
  <dcterms:created xsi:type="dcterms:W3CDTF">2022-12-22T14:42:00Z</dcterms:created>
  <dcterms:modified xsi:type="dcterms:W3CDTF">2022-12-22T14:42:00Z</dcterms:modified>
</cp:coreProperties>
</file>